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332" w:rsidRPr="00F62C87" w:rsidRDefault="00A44166" w:rsidP="00A44166">
      <w:pPr>
        <w:rPr>
          <w:rFonts w:cstheme="minorHAnsi"/>
          <w:b/>
          <w:lang w:val="pl-PL"/>
        </w:rPr>
      </w:pPr>
      <w:bookmarkStart w:id="0" w:name="_GoBack"/>
      <w:bookmarkEnd w:id="0"/>
      <w:r>
        <w:rPr>
          <w:rFonts w:cstheme="minorHAnsi"/>
          <w:b/>
          <w:lang w:val="pl-PL"/>
        </w:rPr>
        <w:t>MAGAZYNOWY OUTSOURCING</w:t>
      </w:r>
    </w:p>
    <w:p w:rsidR="003A4332" w:rsidRPr="00AD0E60" w:rsidRDefault="003A4332" w:rsidP="003A4332">
      <w:pPr>
        <w:rPr>
          <w:rFonts w:cstheme="minorHAnsi"/>
          <w:lang w:val="pl-PL"/>
        </w:rPr>
      </w:pPr>
    </w:p>
    <w:p w:rsidR="003A4332" w:rsidRPr="00E63B0C" w:rsidRDefault="008F4535" w:rsidP="008F4535">
      <w:pPr>
        <w:jc w:val="both"/>
        <w:rPr>
          <w:rFonts w:cstheme="minorHAnsi"/>
          <w:lang w:val="pl-PL"/>
        </w:rPr>
      </w:pPr>
      <w:r w:rsidRPr="008F4535">
        <w:rPr>
          <w:rFonts w:cstheme="minorHAnsi"/>
          <w:b/>
          <w:lang w:val="pl-PL"/>
        </w:rPr>
        <w:t xml:space="preserve">Nieruchomości </w:t>
      </w:r>
      <w:r w:rsidR="00F62C87" w:rsidRPr="008F4535">
        <w:rPr>
          <w:rFonts w:cstheme="minorHAnsi"/>
          <w:b/>
          <w:lang w:val="pl-PL"/>
        </w:rPr>
        <w:t xml:space="preserve">magazynowe - </w:t>
      </w:r>
      <w:r>
        <w:rPr>
          <w:rFonts w:cstheme="minorHAnsi"/>
          <w:b/>
          <w:lang w:val="pl-PL"/>
        </w:rPr>
        <w:t>wielu chętnych do partycypacji w sukcesie</w:t>
      </w:r>
    </w:p>
    <w:p w:rsidR="003A4332" w:rsidRPr="00E63B0C" w:rsidRDefault="003A4332" w:rsidP="003A4332">
      <w:pPr>
        <w:rPr>
          <w:rFonts w:cstheme="minorHAnsi"/>
          <w:lang w:val="pl-PL"/>
        </w:rPr>
      </w:pPr>
    </w:p>
    <w:p w:rsidR="002A3C8D" w:rsidRDefault="00316743" w:rsidP="00D65824">
      <w:pPr>
        <w:jc w:val="both"/>
        <w:rPr>
          <w:rFonts w:cstheme="minorHAnsi"/>
          <w:lang w:val="pl-PL"/>
        </w:rPr>
      </w:pPr>
      <w:r>
        <w:rPr>
          <w:rFonts w:cstheme="minorHAnsi"/>
          <w:lang w:val="pl-PL"/>
        </w:rPr>
        <w:t>Polski r</w:t>
      </w:r>
      <w:r w:rsidR="00BB0458" w:rsidRPr="005C1BB4">
        <w:rPr>
          <w:rFonts w:cstheme="minorHAnsi"/>
          <w:lang w:val="pl-PL"/>
        </w:rPr>
        <w:t xml:space="preserve">ynek magazynowy odnotował rekordowy wynik w 2020 roku, a wartość sfinalizowanych w </w:t>
      </w:r>
      <w:r w:rsidR="001A1617" w:rsidRPr="005C1BB4">
        <w:rPr>
          <w:rFonts w:cstheme="minorHAnsi"/>
          <w:lang w:val="pl-PL"/>
        </w:rPr>
        <w:t>ubiegłym</w:t>
      </w:r>
      <w:r w:rsidR="00BB0458" w:rsidRPr="005C1BB4">
        <w:rPr>
          <w:rFonts w:cstheme="minorHAnsi"/>
          <w:lang w:val="pl-PL"/>
        </w:rPr>
        <w:t xml:space="preserve"> roku transakcji </w:t>
      </w:r>
      <w:r w:rsidR="001A1617" w:rsidRPr="005C1BB4">
        <w:rPr>
          <w:rFonts w:cstheme="minorHAnsi"/>
          <w:lang w:val="pl-PL"/>
        </w:rPr>
        <w:t>osiągnęła</w:t>
      </w:r>
      <w:r w:rsidR="00BB0458" w:rsidRPr="005C1BB4">
        <w:rPr>
          <w:rFonts w:cstheme="minorHAnsi"/>
          <w:lang w:val="pl-PL"/>
        </w:rPr>
        <w:t xml:space="preserve"> 2,7 miliarda euro</w:t>
      </w:r>
      <w:r w:rsidR="00BB0458" w:rsidRPr="005C1BB4">
        <w:rPr>
          <w:rStyle w:val="FootnoteReference"/>
          <w:rFonts w:cstheme="minorHAnsi"/>
          <w:lang w:val="pl-PL"/>
        </w:rPr>
        <w:footnoteReference w:id="1"/>
      </w:r>
      <w:r w:rsidR="00BB0458" w:rsidRPr="005C1BB4">
        <w:rPr>
          <w:rFonts w:cstheme="minorHAnsi"/>
          <w:lang w:val="pl-PL"/>
        </w:rPr>
        <w:t xml:space="preserve">. </w:t>
      </w:r>
      <w:r w:rsidR="00464748">
        <w:rPr>
          <w:rFonts w:cstheme="minorHAnsi"/>
          <w:lang w:val="pl-PL"/>
        </w:rPr>
        <w:t xml:space="preserve">Biorąc pod uwagę wolumeny transakcji z lat </w:t>
      </w:r>
      <w:r w:rsidR="00543DBC">
        <w:rPr>
          <w:rFonts w:cstheme="minorHAnsi"/>
          <w:lang w:val="pl-PL"/>
        </w:rPr>
        <w:t>poprzedzających</w:t>
      </w:r>
      <w:r w:rsidR="00464748">
        <w:rPr>
          <w:rFonts w:cstheme="minorHAnsi"/>
          <w:lang w:val="pl-PL"/>
        </w:rPr>
        <w:t xml:space="preserve">, widoczna jest stała tendencja wzrostowa. </w:t>
      </w:r>
      <w:r w:rsidR="00356469" w:rsidRPr="005C1BB4">
        <w:rPr>
          <w:rFonts w:cstheme="minorHAnsi"/>
          <w:lang w:val="pl-PL"/>
        </w:rPr>
        <w:t>Nic więc dziwnego, że co</w:t>
      </w:r>
      <w:r w:rsidR="00A44166">
        <w:rPr>
          <w:rFonts w:cstheme="minorHAnsi"/>
          <w:lang w:val="pl-PL"/>
        </w:rPr>
        <w:t xml:space="preserve"> </w:t>
      </w:r>
      <w:r w:rsidR="00356469" w:rsidRPr="005C1BB4">
        <w:rPr>
          <w:rFonts w:cstheme="minorHAnsi"/>
          <w:lang w:val="pl-PL"/>
        </w:rPr>
        <w:t xml:space="preserve">raz więcej </w:t>
      </w:r>
      <w:r w:rsidR="00543DBC">
        <w:rPr>
          <w:rFonts w:cstheme="minorHAnsi"/>
          <w:lang w:val="pl-PL"/>
        </w:rPr>
        <w:t xml:space="preserve">podmiotów </w:t>
      </w:r>
      <w:r w:rsidR="001A1617" w:rsidRPr="005C1BB4">
        <w:rPr>
          <w:rFonts w:cstheme="minorHAnsi"/>
          <w:lang w:val="pl-PL"/>
        </w:rPr>
        <w:t xml:space="preserve">zainteresowanych jest </w:t>
      </w:r>
      <w:r w:rsidR="00D65824" w:rsidRPr="005C1BB4">
        <w:rPr>
          <w:rFonts w:cstheme="minorHAnsi"/>
          <w:lang w:val="pl-PL"/>
        </w:rPr>
        <w:t xml:space="preserve">inwestowaniem </w:t>
      </w:r>
      <w:r>
        <w:rPr>
          <w:rFonts w:cstheme="minorHAnsi"/>
          <w:lang w:val="pl-PL"/>
        </w:rPr>
        <w:t>w</w:t>
      </w:r>
      <w:r w:rsidR="00A44166">
        <w:rPr>
          <w:rFonts w:cstheme="minorHAnsi"/>
          <w:lang w:val="pl-PL"/>
        </w:rPr>
        <w:t> </w:t>
      </w:r>
      <w:r w:rsidR="00D65824" w:rsidRPr="005C1BB4">
        <w:rPr>
          <w:rFonts w:cstheme="minorHAnsi"/>
          <w:lang w:val="pl-PL"/>
        </w:rPr>
        <w:t xml:space="preserve">ten segment rynku nieruchomości. </w:t>
      </w:r>
      <w:r w:rsidR="005C1BB4" w:rsidRPr="005C1BB4">
        <w:rPr>
          <w:rFonts w:cstheme="minorHAnsi"/>
          <w:lang w:val="pl-PL"/>
        </w:rPr>
        <w:t xml:space="preserve">Wraz ze wzrostem liczby inwestorów widać także coraz większe ich zróżnicowanie </w:t>
      </w:r>
      <w:r w:rsidR="00A44166">
        <w:rPr>
          <w:rFonts w:cstheme="minorHAnsi"/>
          <w:lang w:val="pl-PL"/>
        </w:rPr>
        <w:t>−</w:t>
      </w:r>
      <w:r w:rsidR="005C1BB4" w:rsidRPr="005C1BB4">
        <w:rPr>
          <w:rFonts w:cstheme="minorHAnsi"/>
          <w:lang w:val="pl-PL"/>
        </w:rPr>
        <w:t xml:space="preserve"> </w:t>
      </w:r>
      <w:r w:rsidR="005C1BB4">
        <w:rPr>
          <w:rFonts w:cstheme="minorHAnsi"/>
          <w:lang w:val="pl-PL"/>
        </w:rPr>
        <w:t xml:space="preserve">obok tradycyjnych, instytucjonalnych inwestorów coraz więcej transakcji </w:t>
      </w:r>
      <w:r>
        <w:rPr>
          <w:rFonts w:cstheme="minorHAnsi"/>
          <w:lang w:val="pl-PL"/>
        </w:rPr>
        <w:t>przeprowadzanych je</w:t>
      </w:r>
      <w:r w:rsidR="002A3C8D">
        <w:rPr>
          <w:rFonts w:cstheme="minorHAnsi"/>
          <w:lang w:val="pl-PL"/>
        </w:rPr>
        <w:t>st przez prywatnych inwestorów</w:t>
      </w:r>
      <w:r w:rsidR="001329E0">
        <w:rPr>
          <w:rFonts w:cstheme="minorHAnsi"/>
          <w:lang w:val="pl-PL"/>
        </w:rPr>
        <w:t xml:space="preserve"> lub w formule wspólnego przedsięwzięcia ("joint venture")</w:t>
      </w:r>
      <w:r w:rsidR="002A3C8D">
        <w:rPr>
          <w:rFonts w:cstheme="minorHAnsi"/>
          <w:lang w:val="pl-PL"/>
        </w:rPr>
        <w:t xml:space="preserve">. </w:t>
      </w:r>
    </w:p>
    <w:p w:rsidR="002A3C8D" w:rsidRDefault="002A3C8D" w:rsidP="00D65824">
      <w:pPr>
        <w:jc w:val="both"/>
        <w:rPr>
          <w:rFonts w:cstheme="minorHAnsi"/>
          <w:lang w:val="pl-PL"/>
        </w:rPr>
      </w:pPr>
    </w:p>
    <w:p w:rsidR="00AA3E31" w:rsidRPr="00F62C87" w:rsidRDefault="00F62C87" w:rsidP="00D65824">
      <w:pPr>
        <w:jc w:val="both"/>
        <w:rPr>
          <w:rFonts w:cstheme="minorHAnsi"/>
          <w:b/>
          <w:lang w:val="pl-PL"/>
        </w:rPr>
      </w:pPr>
      <w:r w:rsidRPr="00F62C87">
        <w:rPr>
          <w:rFonts w:cstheme="minorHAnsi"/>
          <w:b/>
          <w:lang w:val="pl-PL"/>
        </w:rPr>
        <w:t>Symbioza deweloperów i inwestorów</w:t>
      </w:r>
    </w:p>
    <w:p w:rsidR="00AA3E31" w:rsidRPr="00464748" w:rsidRDefault="00AA3E31" w:rsidP="00D65824">
      <w:pPr>
        <w:jc w:val="both"/>
        <w:rPr>
          <w:rFonts w:cstheme="minorHAnsi"/>
          <w:lang w:val="pl-PL"/>
        </w:rPr>
      </w:pPr>
    </w:p>
    <w:p w:rsidR="00500493" w:rsidRPr="00500493" w:rsidRDefault="00A62460" w:rsidP="00500493">
      <w:pPr>
        <w:jc w:val="both"/>
        <w:rPr>
          <w:rFonts w:cstheme="minorHAnsi"/>
          <w:lang w:val="pl-PL"/>
        </w:rPr>
      </w:pPr>
      <w:r>
        <w:rPr>
          <w:rFonts w:cstheme="minorHAnsi"/>
          <w:lang w:val="pl-PL"/>
        </w:rPr>
        <w:t xml:space="preserve">Wielu </w:t>
      </w:r>
      <w:r w:rsidR="00AA3E31" w:rsidRPr="00AA3E31">
        <w:rPr>
          <w:rFonts w:cstheme="minorHAnsi"/>
          <w:lang w:val="pl-PL"/>
        </w:rPr>
        <w:t>inwestorów</w:t>
      </w:r>
      <w:r w:rsidR="001329E0">
        <w:rPr>
          <w:rFonts w:cstheme="minorHAnsi"/>
          <w:lang w:val="pl-PL"/>
        </w:rPr>
        <w:t xml:space="preserve"> decyduje </w:t>
      </w:r>
      <w:r w:rsidR="00A44166">
        <w:rPr>
          <w:rFonts w:cstheme="minorHAnsi"/>
          <w:lang w:val="pl-PL"/>
        </w:rPr>
        <w:t xml:space="preserve">na </w:t>
      </w:r>
      <w:r w:rsidR="001329E0">
        <w:rPr>
          <w:rFonts w:cstheme="minorHAnsi"/>
          <w:lang w:val="pl-PL"/>
        </w:rPr>
        <w:t xml:space="preserve">się </w:t>
      </w:r>
      <w:r w:rsidR="0050027C">
        <w:rPr>
          <w:rFonts w:cstheme="minorHAnsi"/>
          <w:lang w:val="pl-PL"/>
        </w:rPr>
        <w:t>współpracę z doświadczonym</w:t>
      </w:r>
      <w:r>
        <w:rPr>
          <w:rFonts w:cstheme="minorHAnsi"/>
          <w:lang w:val="pl-PL"/>
        </w:rPr>
        <w:t>i</w:t>
      </w:r>
      <w:r w:rsidR="0050027C">
        <w:rPr>
          <w:rFonts w:cstheme="minorHAnsi"/>
          <w:lang w:val="pl-PL"/>
        </w:rPr>
        <w:t xml:space="preserve"> dew</w:t>
      </w:r>
      <w:r w:rsidR="00AD0E60">
        <w:rPr>
          <w:rFonts w:cstheme="minorHAnsi"/>
          <w:lang w:val="pl-PL"/>
        </w:rPr>
        <w:t>eloper</w:t>
      </w:r>
      <w:r>
        <w:rPr>
          <w:rFonts w:cstheme="minorHAnsi"/>
          <w:lang w:val="pl-PL"/>
        </w:rPr>
        <w:t xml:space="preserve">ami </w:t>
      </w:r>
      <w:r w:rsidR="00AD0E60">
        <w:rPr>
          <w:rFonts w:cstheme="minorHAnsi"/>
          <w:lang w:val="pl-PL"/>
        </w:rPr>
        <w:t>magazynowym</w:t>
      </w:r>
      <w:r>
        <w:rPr>
          <w:rFonts w:cstheme="minorHAnsi"/>
          <w:lang w:val="pl-PL"/>
        </w:rPr>
        <w:t>i, działającymi na polskim rynku</w:t>
      </w:r>
      <w:r w:rsidR="004A04BB">
        <w:rPr>
          <w:rFonts w:cstheme="minorHAnsi"/>
          <w:lang w:val="pl-PL"/>
        </w:rPr>
        <w:t>, wśród których są również dynamicznie rozwijające się firmy z polskim kapitałem</w:t>
      </w:r>
      <w:r w:rsidR="000F1D38">
        <w:rPr>
          <w:rFonts w:cstheme="minorHAnsi"/>
          <w:lang w:val="pl-PL"/>
        </w:rPr>
        <w:t xml:space="preserve">. </w:t>
      </w:r>
      <w:r w:rsidR="00500493" w:rsidRPr="00500493">
        <w:rPr>
          <w:rFonts w:cstheme="minorHAnsi"/>
          <w:lang w:val="pl-PL"/>
        </w:rPr>
        <w:t>W zależności od poziomu ryzyka, które chce na siebie przyjąć inwestor − ta współpraca może polegać na:</w:t>
      </w:r>
    </w:p>
    <w:p w:rsidR="00500493" w:rsidRPr="00500493" w:rsidRDefault="00500493" w:rsidP="00500493">
      <w:pPr>
        <w:pStyle w:val="ListParagraph"/>
        <w:numPr>
          <w:ilvl w:val="0"/>
          <w:numId w:val="32"/>
        </w:numPr>
        <w:jc w:val="both"/>
        <w:rPr>
          <w:rFonts w:cstheme="minorHAnsi"/>
          <w:lang w:val="pl-PL"/>
        </w:rPr>
      </w:pPr>
      <w:r w:rsidRPr="00500493">
        <w:rPr>
          <w:rFonts w:cstheme="minorHAnsi"/>
          <w:lang w:val="pl-PL"/>
        </w:rPr>
        <w:t xml:space="preserve">nabywaniu ukończonych i skomercjalizowanych projektów przez inwestorów instytucjonalnych, przy najniższym poziomie ryzyka; lub </w:t>
      </w:r>
    </w:p>
    <w:p w:rsidR="00500493" w:rsidRPr="00500493" w:rsidRDefault="00500493" w:rsidP="00500493">
      <w:pPr>
        <w:pStyle w:val="ListParagraph"/>
        <w:numPr>
          <w:ilvl w:val="0"/>
          <w:numId w:val="32"/>
        </w:numPr>
        <w:jc w:val="both"/>
        <w:rPr>
          <w:rFonts w:cstheme="minorHAnsi"/>
          <w:lang w:val="pl-PL"/>
        </w:rPr>
      </w:pPr>
      <w:r w:rsidRPr="00500493">
        <w:rPr>
          <w:rFonts w:cstheme="minorHAnsi"/>
          <w:lang w:val="pl-PL"/>
        </w:rPr>
        <w:t>transakcjach typu forward funding przy udziale bardziej pasywnych i</w:t>
      </w:r>
      <w:r>
        <w:rPr>
          <w:rFonts w:cstheme="minorHAnsi"/>
          <w:lang w:val="pl-PL"/>
        </w:rPr>
        <w:t>nwestorów (często prywatnych) − </w:t>
      </w:r>
      <w:r w:rsidRPr="00500493">
        <w:rPr>
          <w:rFonts w:cstheme="minorHAnsi"/>
          <w:lang w:val="pl-PL"/>
        </w:rPr>
        <w:t>zabezpieczanych jednak szeroko przez dewelopera i często gwarantującyc</w:t>
      </w:r>
      <w:r>
        <w:rPr>
          <w:rFonts w:cstheme="minorHAnsi"/>
          <w:lang w:val="pl-PL"/>
        </w:rPr>
        <w:t>h inwestorowi określony zwrot z </w:t>
      </w:r>
      <w:r w:rsidRPr="00500493">
        <w:rPr>
          <w:rFonts w:cstheme="minorHAnsi"/>
          <w:lang w:val="pl-PL"/>
        </w:rPr>
        <w:t xml:space="preserve">inwestycji, a deweloperowi realizację zysku przy niewielkim zaangażowaniu kapitałowym; </w:t>
      </w:r>
    </w:p>
    <w:p w:rsidR="00473C88" w:rsidRPr="00500493" w:rsidRDefault="00500493" w:rsidP="00500493">
      <w:pPr>
        <w:pStyle w:val="ListParagraph"/>
        <w:numPr>
          <w:ilvl w:val="0"/>
          <w:numId w:val="32"/>
        </w:numPr>
        <w:jc w:val="both"/>
        <w:rPr>
          <w:rFonts w:cstheme="minorHAnsi"/>
          <w:lang w:val="pl-PL"/>
        </w:rPr>
      </w:pPr>
      <w:r w:rsidRPr="00500493">
        <w:rPr>
          <w:rFonts w:cstheme="minorHAnsi"/>
          <w:lang w:val="pl-PL"/>
        </w:rPr>
        <w:t>aż do transakcji joint venture, w których często uczestniczą inwestorzy z dużym doświadczeniem developerskim, jednak nie posiadający odpowiedniej platformy do działania na polskim rynku, która umożliwiałaby im samodzielną realizację takich przedsięwzięć.</w:t>
      </w:r>
    </w:p>
    <w:p w:rsidR="00473C88" w:rsidRDefault="00473C88" w:rsidP="00D65824">
      <w:pPr>
        <w:jc w:val="both"/>
        <w:rPr>
          <w:rFonts w:cstheme="minorHAnsi"/>
          <w:lang w:val="pl-PL"/>
        </w:rPr>
      </w:pPr>
    </w:p>
    <w:p w:rsidR="00816E19" w:rsidRDefault="004A04BB" w:rsidP="00D65824">
      <w:pPr>
        <w:jc w:val="both"/>
        <w:rPr>
          <w:rFonts w:cstheme="minorHAnsi"/>
          <w:lang w:val="pl-PL"/>
        </w:rPr>
      </w:pPr>
      <w:r>
        <w:rPr>
          <w:rFonts w:cstheme="minorHAnsi"/>
          <w:lang w:val="pl-PL"/>
        </w:rPr>
        <w:t>G</w:t>
      </w:r>
      <w:r w:rsidR="00816E19">
        <w:rPr>
          <w:rFonts w:cstheme="minorHAnsi"/>
          <w:lang w:val="pl-PL"/>
        </w:rPr>
        <w:t>dy pierwsze projekty okazują się sukcesem i uwiarygadniają relację inwestor-de</w:t>
      </w:r>
      <w:r w:rsidR="00B314D6">
        <w:rPr>
          <w:rFonts w:cstheme="minorHAnsi"/>
          <w:lang w:val="pl-PL"/>
        </w:rPr>
        <w:t>w</w:t>
      </w:r>
      <w:r w:rsidR="00816E19">
        <w:rPr>
          <w:rFonts w:cstheme="minorHAnsi"/>
          <w:lang w:val="pl-PL"/>
        </w:rPr>
        <w:t xml:space="preserve">eloper </w:t>
      </w:r>
      <w:r w:rsidR="00A44166">
        <w:rPr>
          <w:rFonts w:cstheme="minorHAnsi"/>
          <w:lang w:val="pl-PL"/>
        </w:rPr>
        <w:t>−</w:t>
      </w:r>
      <w:r w:rsidR="00966EED" w:rsidRPr="00966EED">
        <w:rPr>
          <w:rFonts w:cstheme="minorHAnsi"/>
          <w:lang w:val="pl-PL"/>
        </w:rPr>
        <w:t xml:space="preserve"> </w:t>
      </w:r>
      <w:r w:rsidR="00966EED">
        <w:rPr>
          <w:rFonts w:cstheme="minorHAnsi"/>
          <w:lang w:val="pl-PL"/>
        </w:rPr>
        <w:t xml:space="preserve">taka współpraca w krótkim okresie może ulec </w:t>
      </w:r>
      <w:r w:rsidR="00816E19">
        <w:rPr>
          <w:rFonts w:cstheme="minorHAnsi"/>
          <w:lang w:val="pl-PL"/>
        </w:rPr>
        <w:t xml:space="preserve">rozszerzeniu </w:t>
      </w:r>
      <w:r w:rsidR="00966EED">
        <w:rPr>
          <w:rFonts w:cstheme="minorHAnsi"/>
          <w:lang w:val="pl-PL"/>
        </w:rPr>
        <w:t xml:space="preserve">i </w:t>
      </w:r>
      <w:r w:rsidR="00816E19">
        <w:rPr>
          <w:rFonts w:cstheme="minorHAnsi"/>
          <w:lang w:val="pl-PL"/>
        </w:rPr>
        <w:t>ob</w:t>
      </w:r>
      <w:r w:rsidR="00966EED">
        <w:rPr>
          <w:rFonts w:cstheme="minorHAnsi"/>
          <w:lang w:val="pl-PL"/>
        </w:rPr>
        <w:t xml:space="preserve">jąć </w:t>
      </w:r>
      <w:r>
        <w:rPr>
          <w:rFonts w:cstheme="minorHAnsi"/>
          <w:lang w:val="pl-PL"/>
        </w:rPr>
        <w:t>wspólną realizację kolejnych projektów</w:t>
      </w:r>
      <w:r w:rsidR="00966EED">
        <w:rPr>
          <w:rFonts w:cstheme="minorHAnsi"/>
          <w:lang w:val="pl-PL"/>
        </w:rPr>
        <w:t xml:space="preserve">. </w:t>
      </w:r>
      <w:r>
        <w:rPr>
          <w:rFonts w:cstheme="minorHAnsi"/>
          <w:lang w:val="pl-PL"/>
        </w:rPr>
        <w:t xml:space="preserve">Ze względu na tempo realizacji projektów magazynowych, kluczowa dla sukcesu jest szybkość podejmowania decyzji, do czego konieczne jest wypracowanie zaufania pomiędzy partnerami. </w:t>
      </w:r>
      <w:r w:rsidR="00966EED">
        <w:rPr>
          <w:rFonts w:cstheme="minorHAnsi"/>
          <w:lang w:val="pl-PL"/>
        </w:rPr>
        <w:t>G</w:t>
      </w:r>
      <w:r w:rsidR="002658D6">
        <w:rPr>
          <w:rFonts w:cstheme="minorHAnsi"/>
          <w:lang w:val="pl-PL"/>
        </w:rPr>
        <w:t xml:space="preserve">warantuje </w:t>
      </w:r>
      <w:r w:rsidR="00966EED">
        <w:rPr>
          <w:rFonts w:cstheme="minorHAnsi"/>
          <w:lang w:val="pl-PL"/>
        </w:rPr>
        <w:t xml:space="preserve">to </w:t>
      </w:r>
      <w:r w:rsidR="002658D6">
        <w:rPr>
          <w:rFonts w:cstheme="minorHAnsi"/>
          <w:lang w:val="pl-PL"/>
        </w:rPr>
        <w:t>możliwoś</w:t>
      </w:r>
      <w:r w:rsidR="00A44166">
        <w:rPr>
          <w:rFonts w:cstheme="minorHAnsi"/>
          <w:lang w:val="pl-PL"/>
        </w:rPr>
        <w:t>ć</w:t>
      </w:r>
      <w:r>
        <w:rPr>
          <w:rFonts w:cstheme="minorHAnsi"/>
          <w:lang w:val="pl-PL"/>
        </w:rPr>
        <w:t xml:space="preserve"> dość szybkiego t</w:t>
      </w:r>
      <w:r w:rsidR="002658D6">
        <w:rPr>
          <w:rFonts w:cstheme="minorHAnsi"/>
          <w:lang w:val="pl-PL"/>
        </w:rPr>
        <w:t xml:space="preserve">worzenia </w:t>
      </w:r>
      <w:r>
        <w:rPr>
          <w:rFonts w:cstheme="minorHAnsi"/>
          <w:lang w:val="pl-PL"/>
        </w:rPr>
        <w:t>portfeli</w:t>
      </w:r>
      <w:r w:rsidR="002658D6">
        <w:rPr>
          <w:rFonts w:cstheme="minorHAnsi"/>
          <w:lang w:val="pl-PL"/>
        </w:rPr>
        <w:t xml:space="preserve"> nieruchomości magazynowych, któr</w:t>
      </w:r>
      <w:r>
        <w:rPr>
          <w:rFonts w:cstheme="minorHAnsi"/>
          <w:lang w:val="pl-PL"/>
        </w:rPr>
        <w:t>e</w:t>
      </w:r>
      <w:r w:rsidR="002658D6">
        <w:rPr>
          <w:rFonts w:cstheme="minorHAnsi"/>
          <w:lang w:val="pl-PL"/>
        </w:rPr>
        <w:t xml:space="preserve"> z kolei </w:t>
      </w:r>
      <w:r>
        <w:rPr>
          <w:rFonts w:cstheme="minorHAnsi"/>
          <w:lang w:val="pl-PL"/>
        </w:rPr>
        <w:t xml:space="preserve">są </w:t>
      </w:r>
      <w:r w:rsidR="002658D6">
        <w:rPr>
          <w:rFonts w:cstheme="minorHAnsi"/>
          <w:lang w:val="pl-PL"/>
        </w:rPr>
        <w:t>produkt</w:t>
      </w:r>
      <w:r>
        <w:rPr>
          <w:rFonts w:cstheme="minorHAnsi"/>
          <w:lang w:val="pl-PL"/>
        </w:rPr>
        <w:t xml:space="preserve">ami </w:t>
      </w:r>
      <w:r w:rsidR="002658D6">
        <w:rPr>
          <w:rFonts w:cstheme="minorHAnsi"/>
          <w:lang w:val="pl-PL"/>
        </w:rPr>
        <w:t>poszukiwanym</w:t>
      </w:r>
      <w:r>
        <w:rPr>
          <w:rFonts w:cstheme="minorHAnsi"/>
          <w:lang w:val="pl-PL"/>
        </w:rPr>
        <w:t>i</w:t>
      </w:r>
      <w:r w:rsidR="002658D6">
        <w:rPr>
          <w:rFonts w:cstheme="minorHAnsi"/>
          <w:lang w:val="pl-PL"/>
        </w:rPr>
        <w:t xml:space="preserve"> przez inwestorów instytucjonalnych.</w:t>
      </w:r>
      <w:r w:rsidR="00816E19">
        <w:rPr>
          <w:rFonts w:cstheme="minorHAnsi"/>
          <w:lang w:val="pl-PL"/>
        </w:rPr>
        <w:t xml:space="preserve"> </w:t>
      </w:r>
    </w:p>
    <w:p w:rsidR="00816E19" w:rsidRDefault="00816E19" w:rsidP="00D65824">
      <w:pPr>
        <w:jc w:val="both"/>
        <w:rPr>
          <w:rFonts w:cstheme="minorHAnsi"/>
          <w:lang w:val="pl-PL"/>
        </w:rPr>
      </w:pPr>
    </w:p>
    <w:p w:rsidR="00684266" w:rsidRDefault="00E63B0C" w:rsidP="004A04BB">
      <w:pPr>
        <w:jc w:val="both"/>
        <w:rPr>
          <w:rFonts w:cstheme="minorHAnsi"/>
          <w:lang w:val="pl-PL"/>
        </w:rPr>
      </w:pPr>
      <w:r>
        <w:rPr>
          <w:rFonts w:cstheme="minorHAnsi"/>
          <w:lang w:val="pl-PL"/>
        </w:rPr>
        <w:t>Taka współpraca</w:t>
      </w:r>
      <w:r w:rsidR="00995E4A">
        <w:rPr>
          <w:rFonts w:cstheme="minorHAnsi"/>
          <w:lang w:val="pl-PL"/>
        </w:rPr>
        <w:t xml:space="preserve"> </w:t>
      </w:r>
      <w:r w:rsidR="00816E19">
        <w:rPr>
          <w:rFonts w:cstheme="minorHAnsi"/>
          <w:lang w:val="pl-PL"/>
        </w:rPr>
        <w:t xml:space="preserve">z deweloperem </w:t>
      </w:r>
      <w:r w:rsidR="004A04BB">
        <w:rPr>
          <w:rFonts w:cstheme="minorHAnsi"/>
          <w:lang w:val="pl-PL"/>
        </w:rPr>
        <w:t xml:space="preserve">jest </w:t>
      </w:r>
      <w:r>
        <w:rPr>
          <w:rFonts w:cstheme="minorHAnsi"/>
          <w:lang w:val="pl-PL"/>
        </w:rPr>
        <w:t>korzystna dla ob</w:t>
      </w:r>
      <w:r w:rsidR="0050027C">
        <w:rPr>
          <w:rFonts w:cstheme="minorHAnsi"/>
          <w:lang w:val="pl-PL"/>
        </w:rPr>
        <w:t xml:space="preserve">u stron transakcji: </w:t>
      </w:r>
      <w:r w:rsidR="004A04BB">
        <w:rPr>
          <w:rFonts w:cstheme="minorHAnsi"/>
          <w:lang w:val="pl-PL"/>
        </w:rPr>
        <w:t>na podstawie umowy o zarządzanie procesem inwestycyjnym (tak zwanej "</w:t>
      </w:r>
      <w:r w:rsidR="004A04BB" w:rsidRPr="008A5C43">
        <w:rPr>
          <w:rFonts w:cstheme="minorHAnsi"/>
          <w:i/>
          <w:lang w:val="pl-PL"/>
        </w:rPr>
        <w:t xml:space="preserve">development management </w:t>
      </w:r>
      <w:r w:rsidR="004A04BB">
        <w:rPr>
          <w:rFonts w:cstheme="minorHAnsi"/>
          <w:i/>
          <w:lang w:val="pl-PL"/>
        </w:rPr>
        <w:t>agreement</w:t>
      </w:r>
      <w:r w:rsidR="004A04BB">
        <w:rPr>
          <w:rFonts w:cstheme="minorHAnsi"/>
          <w:lang w:val="pl-PL"/>
        </w:rPr>
        <w:t>")</w:t>
      </w:r>
      <w:r w:rsidR="00A74851">
        <w:rPr>
          <w:rFonts w:cstheme="minorHAnsi"/>
          <w:lang w:val="pl-PL"/>
        </w:rPr>
        <w:t>,</w:t>
      </w:r>
      <w:r w:rsidR="004A04BB">
        <w:rPr>
          <w:rFonts w:cstheme="minorHAnsi"/>
          <w:lang w:val="pl-PL"/>
        </w:rPr>
        <w:t xml:space="preserve"> </w:t>
      </w:r>
      <w:r w:rsidR="0050027C">
        <w:rPr>
          <w:rFonts w:cstheme="minorHAnsi"/>
          <w:lang w:val="pl-PL"/>
        </w:rPr>
        <w:t>dew</w:t>
      </w:r>
      <w:r>
        <w:rPr>
          <w:rFonts w:cstheme="minorHAnsi"/>
          <w:lang w:val="pl-PL"/>
        </w:rPr>
        <w:t>eloper prowadzi cały proces inwestycyjny oraz przeprowadza komercjalizację obiektu</w:t>
      </w:r>
      <w:r w:rsidR="00586C9D">
        <w:rPr>
          <w:rFonts w:cstheme="minorHAnsi"/>
          <w:lang w:val="pl-PL"/>
        </w:rPr>
        <w:t>.</w:t>
      </w:r>
      <w:r>
        <w:rPr>
          <w:rFonts w:cstheme="minorHAnsi"/>
          <w:lang w:val="pl-PL"/>
        </w:rPr>
        <w:t xml:space="preserve"> </w:t>
      </w:r>
      <w:r w:rsidR="004A04BB" w:rsidRPr="004A04BB">
        <w:rPr>
          <w:rFonts w:cstheme="minorHAnsi"/>
          <w:lang w:val="pl-PL"/>
        </w:rPr>
        <w:t xml:space="preserve">Skomplikowane stany prawne gruntów, uzyskiwanie zgód i pozwoleń, negocjowanie umów najmu, niejednokrotnie złożone kwestie związane z planowaniem przestrzennym, koordynacja procesu budowalnego, zatrudnianie architekta i generalnego wykonawcy robót budowlanych </w:t>
      </w:r>
      <w:r w:rsidR="00A74851">
        <w:rPr>
          <w:rFonts w:cstheme="minorHAnsi"/>
          <w:lang w:val="pl-PL"/>
        </w:rPr>
        <w:t>−</w:t>
      </w:r>
      <w:r w:rsidR="004A04BB" w:rsidRPr="004A04BB">
        <w:rPr>
          <w:rFonts w:cstheme="minorHAnsi"/>
          <w:lang w:val="pl-PL"/>
        </w:rPr>
        <w:t xml:space="preserve"> to wszystko wymaga zaangażowania niemałej często grupy specjalistów z różnych dziedzin posiadających ugruntowane doświadczenie przy realizacji projektów magazynowych</w:t>
      </w:r>
      <w:r w:rsidR="004A04BB">
        <w:rPr>
          <w:rFonts w:cstheme="minorHAnsi"/>
          <w:lang w:val="pl-PL"/>
        </w:rPr>
        <w:t>. Rzadko kiedy rola de</w:t>
      </w:r>
      <w:r w:rsidR="00A74851">
        <w:rPr>
          <w:rFonts w:cstheme="minorHAnsi"/>
          <w:lang w:val="pl-PL"/>
        </w:rPr>
        <w:t>w</w:t>
      </w:r>
      <w:r w:rsidR="004A04BB">
        <w:rPr>
          <w:rFonts w:cstheme="minorHAnsi"/>
          <w:lang w:val="pl-PL"/>
        </w:rPr>
        <w:t>elopera ogranicza się jedynie do koordynacji procesu inwestycyjnego</w:t>
      </w:r>
      <w:r w:rsidR="00A74851">
        <w:rPr>
          <w:rFonts w:cstheme="minorHAnsi"/>
          <w:lang w:val="pl-PL"/>
        </w:rPr>
        <w:t>. Z</w:t>
      </w:r>
      <w:r w:rsidR="004A04BB">
        <w:rPr>
          <w:rFonts w:cstheme="minorHAnsi"/>
          <w:lang w:val="pl-PL"/>
        </w:rPr>
        <w:t>wykle przyjmuje ona formę zastępstwa inwestycyjnego a w zamian za swoje usługi de</w:t>
      </w:r>
      <w:r w:rsidR="00A74851">
        <w:rPr>
          <w:rFonts w:cstheme="minorHAnsi"/>
          <w:lang w:val="pl-PL"/>
        </w:rPr>
        <w:t>w</w:t>
      </w:r>
      <w:r w:rsidR="004A04BB">
        <w:rPr>
          <w:rFonts w:cstheme="minorHAnsi"/>
          <w:lang w:val="pl-PL"/>
        </w:rPr>
        <w:t xml:space="preserve">eloper otrzymuje </w:t>
      </w:r>
      <w:r>
        <w:rPr>
          <w:rFonts w:cstheme="minorHAnsi"/>
          <w:lang w:val="pl-PL"/>
        </w:rPr>
        <w:t xml:space="preserve">określone </w:t>
      </w:r>
      <w:r w:rsidR="004A04BB">
        <w:rPr>
          <w:rFonts w:cstheme="minorHAnsi"/>
          <w:lang w:val="pl-PL"/>
        </w:rPr>
        <w:t xml:space="preserve">miesięczne </w:t>
      </w:r>
      <w:r>
        <w:rPr>
          <w:rFonts w:cstheme="minorHAnsi"/>
          <w:lang w:val="pl-PL"/>
        </w:rPr>
        <w:t>wynagrodzenie od inwestora</w:t>
      </w:r>
      <w:r w:rsidR="004A04BB">
        <w:rPr>
          <w:rFonts w:cstheme="minorHAnsi"/>
          <w:lang w:val="pl-PL"/>
        </w:rPr>
        <w:t>, stanowiące określony procent kosztów robót budowlanych.</w:t>
      </w:r>
      <w:r>
        <w:rPr>
          <w:rFonts w:cstheme="minorHAnsi"/>
          <w:lang w:val="pl-PL"/>
        </w:rPr>
        <w:t xml:space="preserve"> </w:t>
      </w:r>
      <w:r w:rsidR="004A04BB">
        <w:rPr>
          <w:rFonts w:cstheme="minorHAnsi"/>
          <w:lang w:val="pl-PL"/>
        </w:rPr>
        <w:t>Odrębną regulacją objęty jest podział zysku po sprzedaży projektu</w:t>
      </w:r>
      <w:r w:rsidR="004A04BB" w:rsidRPr="004A04BB">
        <w:rPr>
          <w:rFonts w:cstheme="minorHAnsi"/>
          <w:lang w:val="pl-PL"/>
        </w:rPr>
        <w:t>.</w:t>
      </w:r>
    </w:p>
    <w:p w:rsidR="002F506B" w:rsidRDefault="002F506B" w:rsidP="00D65824">
      <w:pPr>
        <w:jc w:val="both"/>
        <w:rPr>
          <w:rFonts w:cstheme="minorHAnsi"/>
          <w:lang w:val="pl-PL"/>
        </w:rPr>
      </w:pPr>
    </w:p>
    <w:p w:rsidR="00BF3A90" w:rsidRDefault="002F506B" w:rsidP="00D65824">
      <w:pPr>
        <w:jc w:val="both"/>
        <w:rPr>
          <w:rFonts w:cstheme="minorHAnsi"/>
          <w:lang w:val="pl-PL"/>
        </w:rPr>
      </w:pPr>
      <w:r>
        <w:rPr>
          <w:rFonts w:cstheme="minorHAnsi"/>
          <w:lang w:val="pl-PL"/>
        </w:rPr>
        <w:t xml:space="preserve">Współpracy oraz </w:t>
      </w:r>
      <w:r w:rsidR="00811B53">
        <w:rPr>
          <w:rFonts w:cstheme="minorHAnsi"/>
          <w:lang w:val="pl-PL"/>
        </w:rPr>
        <w:t>ilości</w:t>
      </w:r>
      <w:r>
        <w:rPr>
          <w:rFonts w:cstheme="minorHAnsi"/>
          <w:lang w:val="pl-PL"/>
        </w:rPr>
        <w:t xml:space="preserve"> projektów sprzyja także fakt, że specyfiką projektów </w:t>
      </w:r>
      <w:r w:rsidR="00A74851">
        <w:rPr>
          <w:rFonts w:cstheme="minorHAnsi"/>
          <w:lang w:val="pl-PL"/>
        </w:rPr>
        <w:t>magazynowych jest relatywnie (w </w:t>
      </w:r>
      <w:r w:rsidR="00811B53">
        <w:rPr>
          <w:rFonts w:cstheme="minorHAnsi"/>
          <w:lang w:val="pl-PL"/>
        </w:rPr>
        <w:t xml:space="preserve">porównaniu do innych nieruchomości komercyjnych) niższy koszt "wejścia", to jest koszt zakupu lub zrealizowania inwestycji. Umożliwia to </w:t>
      </w:r>
      <w:r w:rsidR="008F4535">
        <w:rPr>
          <w:rFonts w:cstheme="minorHAnsi"/>
          <w:lang w:val="pl-PL"/>
        </w:rPr>
        <w:t>inwestowanie</w:t>
      </w:r>
      <w:r w:rsidR="00A74851">
        <w:rPr>
          <w:rFonts w:cstheme="minorHAnsi"/>
          <w:lang w:val="pl-PL"/>
        </w:rPr>
        <w:t xml:space="preserve"> również mniejszym inwestorom. Z</w:t>
      </w:r>
      <w:r w:rsidR="00811B53">
        <w:rPr>
          <w:rFonts w:cstheme="minorHAnsi"/>
          <w:lang w:val="pl-PL"/>
        </w:rPr>
        <w:t xml:space="preserve"> kolei większym graczom pozwala na realizowanie większej ilości projektów jednocześni</w:t>
      </w:r>
      <w:r w:rsidR="0074048F">
        <w:rPr>
          <w:rFonts w:cstheme="minorHAnsi"/>
          <w:lang w:val="pl-PL"/>
        </w:rPr>
        <w:t>e</w:t>
      </w:r>
      <w:r w:rsidR="00811B53">
        <w:rPr>
          <w:rFonts w:cstheme="minorHAnsi"/>
          <w:lang w:val="pl-PL"/>
        </w:rPr>
        <w:t xml:space="preserve"> lub na nabywanie całych portfeli nieruchomości magazynowych. </w:t>
      </w:r>
    </w:p>
    <w:p w:rsidR="00BF3A90" w:rsidRDefault="00BF3A90" w:rsidP="00D65824">
      <w:pPr>
        <w:jc w:val="both"/>
        <w:rPr>
          <w:rFonts w:cstheme="minorHAnsi"/>
          <w:lang w:val="pl-PL"/>
        </w:rPr>
      </w:pPr>
    </w:p>
    <w:p w:rsidR="002F506B" w:rsidRDefault="00BF3A90" w:rsidP="00D65824">
      <w:pPr>
        <w:jc w:val="both"/>
        <w:rPr>
          <w:rFonts w:cstheme="minorHAnsi"/>
          <w:lang w:val="pl-PL"/>
        </w:rPr>
      </w:pPr>
      <w:r>
        <w:rPr>
          <w:rFonts w:cstheme="minorHAnsi"/>
          <w:lang w:val="pl-PL"/>
        </w:rPr>
        <w:t>Na rynku dostępne są także różne typ</w:t>
      </w:r>
      <w:r w:rsidR="00A74851">
        <w:rPr>
          <w:rFonts w:cstheme="minorHAnsi"/>
          <w:lang w:val="pl-PL"/>
        </w:rPr>
        <w:t>y</w:t>
      </w:r>
      <w:r>
        <w:rPr>
          <w:rFonts w:cstheme="minorHAnsi"/>
          <w:lang w:val="pl-PL"/>
        </w:rPr>
        <w:t xml:space="preserve"> nieruchomości magazynowych, z których każdy może być atrakcyjny dla potencjalnego inwestora. Niektóre magazyny przeznaczone są do wynajmu kilku lub kilkunastu różnym najemcom</w:t>
      </w:r>
      <w:r w:rsidR="001D1BDB">
        <w:rPr>
          <w:rFonts w:cstheme="minorHAnsi"/>
          <w:lang w:val="pl-PL"/>
        </w:rPr>
        <w:t xml:space="preserve"> (tak zwane </w:t>
      </w:r>
      <w:r w:rsidR="001D1BDB" w:rsidRPr="00473C88">
        <w:rPr>
          <w:rFonts w:cstheme="minorHAnsi"/>
          <w:i/>
          <w:lang w:val="pl-PL"/>
        </w:rPr>
        <w:t>"multi-let"</w:t>
      </w:r>
      <w:r w:rsidR="001D1BDB">
        <w:rPr>
          <w:rFonts w:cstheme="minorHAnsi"/>
          <w:lang w:val="pl-PL"/>
        </w:rPr>
        <w:t>)</w:t>
      </w:r>
      <w:r>
        <w:rPr>
          <w:rFonts w:cstheme="minorHAnsi"/>
          <w:lang w:val="pl-PL"/>
        </w:rPr>
        <w:t>, co pozwala wynajmującemu dywersyfikować</w:t>
      </w:r>
      <w:r w:rsidR="00BA43C5">
        <w:rPr>
          <w:rFonts w:cstheme="minorHAnsi"/>
          <w:lang w:val="pl-PL"/>
        </w:rPr>
        <w:t xml:space="preserve"> ryzyka związane z wynajmem powierzchni. Inne magazyny to tak zwane BTS-y ("</w:t>
      </w:r>
      <w:r w:rsidR="00BA43C5" w:rsidRPr="00BA43C5">
        <w:rPr>
          <w:rFonts w:cstheme="minorHAnsi"/>
          <w:i/>
          <w:lang w:val="pl-PL"/>
        </w:rPr>
        <w:t>built-to-suit</w:t>
      </w:r>
      <w:r w:rsidR="00BA43C5">
        <w:rPr>
          <w:rFonts w:cstheme="minorHAnsi"/>
          <w:lang w:val="pl-PL"/>
        </w:rPr>
        <w:t>")</w:t>
      </w:r>
      <w:r w:rsidR="00A74851">
        <w:rPr>
          <w:rFonts w:cstheme="minorHAnsi"/>
          <w:lang w:val="pl-PL"/>
        </w:rPr>
        <w:t xml:space="preserve">, </w:t>
      </w:r>
      <w:r w:rsidR="00BA43C5">
        <w:rPr>
          <w:rFonts w:cstheme="minorHAnsi"/>
          <w:lang w:val="pl-PL"/>
        </w:rPr>
        <w:t>czyli budynki projektowane i budowane z myślą o potrzebach konkretnego najemcy, który wynajmie całość dostępnej powierzchni.</w:t>
      </w:r>
      <w:r w:rsidR="001D1BDB">
        <w:rPr>
          <w:rFonts w:cstheme="minorHAnsi"/>
          <w:lang w:val="pl-PL"/>
        </w:rPr>
        <w:t xml:space="preserve"> Wykończenie powierzchni najmu na potrzeby takiego najemcy jest zwykle znacznie bardziej kosztowne, często powierzchni</w:t>
      </w:r>
      <w:r w:rsidR="00A74851">
        <w:rPr>
          <w:rFonts w:cstheme="minorHAnsi"/>
          <w:lang w:val="pl-PL"/>
        </w:rPr>
        <w:t>e takie mają służyć produkcji z </w:t>
      </w:r>
      <w:r w:rsidR="001D1BDB">
        <w:rPr>
          <w:rFonts w:cstheme="minorHAnsi"/>
          <w:lang w:val="pl-PL"/>
        </w:rPr>
        <w:t>zastosowaniem nowoczesnej technologii i wyspecjalizowanych maszyn. Realizacja takich obiektów może być też nieco dłuższa ze względu na bardziej skomplikowany proces uzyskania wszelkich decyzji umożliwiających realizację takiego obiektu. Ze względu na wysoki poziom takich inwestycji okresy najmu w teg</w:t>
      </w:r>
      <w:r w:rsidR="00A74851">
        <w:rPr>
          <w:rFonts w:cstheme="minorHAnsi"/>
          <w:lang w:val="pl-PL"/>
        </w:rPr>
        <w:t xml:space="preserve">o typu umowach są dłuższe niż </w:t>
      </w:r>
      <w:r w:rsidR="00A74851">
        <w:rPr>
          <w:rFonts w:cstheme="minorHAnsi"/>
          <w:lang w:val="pl-PL"/>
        </w:rPr>
        <w:lastRenderedPageBreak/>
        <w:t>w </w:t>
      </w:r>
      <w:r w:rsidR="001D1BDB">
        <w:rPr>
          <w:rFonts w:cstheme="minorHAnsi"/>
          <w:lang w:val="pl-PL"/>
        </w:rPr>
        <w:t>umowach najmu w budynkach magazynowych przeznaczonych dla wielu najemców. Oczekiwane są również dodatkowe zabezpieczenia na poziomie korporacyjnym, umożliwiające dochodzenie należności najemcy od silnego ekonomicznie podmiotu w grupie kapitałowej najemcy.</w:t>
      </w:r>
      <w:r w:rsidR="004A04BB">
        <w:rPr>
          <w:rFonts w:cstheme="minorHAnsi"/>
          <w:lang w:val="pl-PL"/>
        </w:rPr>
        <w:t xml:space="preserve"> </w:t>
      </w:r>
      <w:r w:rsidR="001D1BDB">
        <w:rPr>
          <w:rFonts w:cstheme="minorHAnsi"/>
          <w:lang w:val="pl-PL"/>
        </w:rPr>
        <w:t xml:space="preserve"> </w:t>
      </w:r>
      <w:r w:rsidR="00BA43C5">
        <w:rPr>
          <w:rFonts w:cstheme="minorHAnsi"/>
          <w:lang w:val="pl-PL"/>
        </w:rPr>
        <w:t xml:space="preserve"> </w:t>
      </w:r>
    </w:p>
    <w:p w:rsidR="009E30C1" w:rsidRDefault="009E30C1" w:rsidP="00D65824">
      <w:pPr>
        <w:jc w:val="both"/>
        <w:rPr>
          <w:rFonts w:cstheme="minorHAnsi"/>
          <w:lang w:val="pl-PL"/>
        </w:rPr>
      </w:pPr>
    </w:p>
    <w:p w:rsidR="009E30C1" w:rsidRDefault="009E30C1" w:rsidP="009E30C1">
      <w:pPr>
        <w:jc w:val="both"/>
        <w:rPr>
          <w:rFonts w:cstheme="minorHAnsi"/>
          <w:lang w:val="pl-PL"/>
        </w:rPr>
      </w:pPr>
      <w:r>
        <w:rPr>
          <w:rFonts w:cstheme="minorHAnsi"/>
          <w:lang w:val="pl-PL"/>
        </w:rPr>
        <w:t xml:space="preserve">Wielu deweloperów </w:t>
      </w:r>
      <w:r w:rsidR="001D1BDB">
        <w:rPr>
          <w:rFonts w:cstheme="minorHAnsi"/>
          <w:lang w:val="pl-PL"/>
        </w:rPr>
        <w:t xml:space="preserve">magazynowych </w:t>
      </w:r>
      <w:r>
        <w:rPr>
          <w:rFonts w:cstheme="minorHAnsi"/>
          <w:lang w:val="pl-PL"/>
        </w:rPr>
        <w:t xml:space="preserve">decyduje się </w:t>
      </w:r>
      <w:r w:rsidR="001D1BDB">
        <w:rPr>
          <w:rFonts w:cstheme="minorHAnsi"/>
          <w:lang w:val="pl-PL"/>
        </w:rPr>
        <w:t xml:space="preserve">obecnie </w:t>
      </w:r>
      <w:r>
        <w:rPr>
          <w:rFonts w:cstheme="minorHAnsi"/>
          <w:lang w:val="pl-PL"/>
        </w:rPr>
        <w:t xml:space="preserve">na </w:t>
      </w:r>
      <w:r w:rsidR="001D1BDB">
        <w:rPr>
          <w:rFonts w:cstheme="minorHAnsi"/>
          <w:lang w:val="pl-PL"/>
        </w:rPr>
        <w:t xml:space="preserve">wprowadzanie </w:t>
      </w:r>
      <w:r>
        <w:rPr>
          <w:rFonts w:cstheme="minorHAnsi"/>
          <w:lang w:val="pl-PL"/>
        </w:rPr>
        <w:t>nowatorski</w:t>
      </w:r>
      <w:r w:rsidR="001D1BDB">
        <w:rPr>
          <w:rFonts w:cstheme="minorHAnsi"/>
          <w:lang w:val="pl-PL"/>
        </w:rPr>
        <w:t xml:space="preserve">ch </w:t>
      </w:r>
      <w:r w:rsidR="00A74851">
        <w:rPr>
          <w:rFonts w:cstheme="minorHAnsi"/>
          <w:lang w:val="pl-PL"/>
        </w:rPr>
        <w:t xml:space="preserve">i </w:t>
      </w:r>
      <w:r>
        <w:rPr>
          <w:rFonts w:cstheme="minorHAnsi"/>
          <w:lang w:val="pl-PL"/>
        </w:rPr>
        <w:t>ekologiczn</w:t>
      </w:r>
      <w:r w:rsidR="001D1BDB">
        <w:rPr>
          <w:rFonts w:cstheme="minorHAnsi"/>
          <w:lang w:val="pl-PL"/>
        </w:rPr>
        <w:t>ych</w:t>
      </w:r>
      <w:r>
        <w:rPr>
          <w:rFonts w:cstheme="minorHAnsi"/>
          <w:lang w:val="pl-PL"/>
        </w:rPr>
        <w:t xml:space="preserve"> rozwiąza</w:t>
      </w:r>
      <w:r w:rsidR="001D1BDB">
        <w:rPr>
          <w:rFonts w:cstheme="minorHAnsi"/>
          <w:lang w:val="pl-PL"/>
        </w:rPr>
        <w:t>ń</w:t>
      </w:r>
      <w:r w:rsidR="00A74851">
        <w:rPr>
          <w:rFonts w:cstheme="minorHAnsi"/>
          <w:lang w:val="pl-PL"/>
        </w:rPr>
        <w:t xml:space="preserve"> w swoich projektach, </w:t>
      </w:r>
      <w:r>
        <w:rPr>
          <w:rFonts w:cstheme="minorHAnsi"/>
          <w:lang w:val="pl-PL"/>
        </w:rPr>
        <w:t>n</w:t>
      </w:r>
      <w:r w:rsidR="00A74851">
        <w:rPr>
          <w:rFonts w:cstheme="minorHAnsi"/>
          <w:lang w:val="pl-PL"/>
        </w:rPr>
        <w:t xml:space="preserve">a </w:t>
      </w:r>
      <w:r>
        <w:rPr>
          <w:rFonts w:cstheme="minorHAnsi"/>
          <w:lang w:val="pl-PL"/>
        </w:rPr>
        <w:t>p</w:t>
      </w:r>
      <w:r w:rsidR="00A74851">
        <w:rPr>
          <w:rFonts w:cstheme="minorHAnsi"/>
          <w:lang w:val="pl-PL"/>
        </w:rPr>
        <w:t>rzykład</w:t>
      </w:r>
      <w:r>
        <w:rPr>
          <w:rFonts w:cstheme="minorHAnsi"/>
          <w:lang w:val="pl-PL"/>
        </w:rPr>
        <w:t xml:space="preserve"> "zielone" dachy budynków, montaż baterii fotowoltaicznych lub inne rozwiązania zmniejszające uciążliwość inwestycji dla środowiska. Bez wątpienia podnosi to jakość każdego z tych projektów oraz może zachęcić tych inwestorów, którzy szczególną wagę przykładają do kwestii ochrony środowiska. </w:t>
      </w:r>
    </w:p>
    <w:p w:rsidR="004A04BB" w:rsidRDefault="004A04BB" w:rsidP="009E30C1">
      <w:pPr>
        <w:jc w:val="both"/>
        <w:rPr>
          <w:rFonts w:cstheme="minorHAnsi"/>
          <w:lang w:val="pl-PL"/>
        </w:rPr>
      </w:pPr>
    </w:p>
    <w:p w:rsidR="004A04BB" w:rsidRDefault="004A04BB" w:rsidP="009E30C1">
      <w:pPr>
        <w:jc w:val="both"/>
        <w:rPr>
          <w:rFonts w:cstheme="minorHAnsi"/>
          <w:lang w:val="pl-PL"/>
        </w:rPr>
      </w:pPr>
      <w:r>
        <w:rPr>
          <w:rFonts w:cstheme="minorHAnsi"/>
          <w:lang w:val="pl-PL"/>
        </w:rPr>
        <w:t>De</w:t>
      </w:r>
      <w:r w:rsidR="00A74851">
        <w:rPr>
          <w:rFonts w:cstheme="minorHAnsi"/>
          <w:lang w:val="pl-PL"/>
        </w:rPr>
        <w:t>w</w:t>
      </w:r>
      <w:r>
        <w:rPr>
          <w:rFonts w:cstheme="minorHAnsi"/>
          <w:lang w:val="pl-PL"/>
        </w:rPr>
        <w:t>eloperzy również wciąż poszukują nowych rozwiązań dla swoich produktów, któ</w:t>
      </w:r>
      <w:r w:rsidR="00A74851">
        <w:rPr>
          <w:rFonts w:cstheme="minorHAnsi"/>
          <w:lang w:val="pl-PL"/>
        </w:rPr>
        <w:t>re odróżnią je od konkurencji i </w:t>
      </w:r>
      <w:r>
        <w:rPr>
          <w:rFonts w:cstheme="minorHAnsi"/>
          <w:lang w:val="pl-PL"/>
        </w:rPr>
        <w:t>przyciągną nowych najemców. Takimi nowymi produktami są magazyny miejskie (tzw. "</w:t>
      </w:r>
      <w:r w:rsidRPr="00473C88">
        <w:rPr>
          <w:rFonts w:cstheme="minorHAnsi"/>
          <w:i/>
          <w:lang w:val="pl-PL"/>
        </w:rPr>
        <w:t>last mile</w:t>
      </w:r>
      <w:r w:rsidR="00A74851">
        <w:rPr>
          <w:rFonts w:cstheme="minorHAnsi"/>
          <w:lang w:val="pl-PL"/>
        </w:rPr>
        <w:t>") lokowane w </w:t>
      </w:r>
      <w:r>
        <w:rPr>
          <w:rFonts w:cstheme="minorHAnsi"/>
          <w:lang w:val="pl-PL"/>
        </w:rPr>
        <w:t>granicach aglomeracji i tym samym pozwalające na skrócenie czasu dostaw na ich ostatnim etapie. Takie produkty zyskują co</w:t>
      </w:r>
      <w:r w:rsidR="002A629A">
        <w:rPr>
          <w:rFonts w:cstheme="minorHAnsi"/>
          <w:lang w:val="pl-PL"/>
        </w:rPr>
        <w:t xml:space="preserve"> </w:t>
      </w:r>
      <w:r>
        <w:rPr>
          <w:rFonts w:cstheme="minorHAnsi"/>
          <w:lang w:val="pl-PL"/>
        </w:rPr>
        <w:t xml:space="preserve">raz większą popularność również wśród najemców poszukujących relatywnie niewielkich powierzchni magazynowych z możliwością prowadzenia biura i showroomu. Zainteresowanie najemców przekłada się na popyt </w:t>
      </w:r>
      <w:r w:rsidR="00586C9D">
        <w:rPr>
          <w:rFonts w:cstheme="minorHAnsi"/>
          <w:lang w:val="pl-PL"/>
        </w:rPr>
        <w:t xml:space="preserve">tak </w:t>
      </w:r>
      <w:r>
        <w:rPr>
          <w:rFonts w:cstheme="minorHAnsi"/>
          <w:lang w:val="pl-PL"/>
        </w:rPr>
        <w:t>skomercjalizowanych obiektów wśród inwestorów instytucjonalnych.</w:t>
      </w:r>
    </w:p>
    <w:p w:rsidR="004A04BB" w:rsidRDefault="004A04BB" w:rsidP="009E30C1">
      <w:pPr>
        <w:jc w:val="both"/>
        <w:rPr>
          <w:rFonts w:cstheme="minorHAnsi"/>
          <w:lang w:val="pl-PL"/>
        </w:rPr>
      </w:pPr>
    </w:p>
    <w:p w:rsidR="004A04BB" w:rsidRDefault="004A04BB" w:rsidP="009E30C1">
      <w:pPr>
        <w:jc w:val="both"/>
        <w:rPr>
          <w:rFonts w:cstheme="minorHAnsi"/>
          <w:lang w:val="pl-PL"/>
        </w:rPr>
      </w:pPr>
      <w:r>
        <w:rPr>
          <w:rFonts w:cstheme="minorHAnsi"/>
          <w:lang w:val="pl-PL"/>
        </w:rPr>
        <w:t>Tego typu obiekty stanowią jednocześnie ciekawe wyzwanie dla de</w:t>
      </w:r>
      <w:r w:rsidR="002A629A">
        <w:rPr>
          <w:rFonts w:cstheme="minorHAnsi"/>
          <w:lang w:val="pl-PL"/>
        </w:rPr>
        <w:t>w</w:t>
      </w:r>
      <w:r>
        <w:rPr>
          <w:rFonts w:cstheme="minorHAnsi"/>
          <w:lang w:val="pl-PL"/>
        </w:rPr>
        <w:t xml:space="preserve">eloperów magazynowych w obszarze kształtowania tkanki miejskiej. Dotychczasowe klasyczne magazyny zlokalizowane poza obszarem miast w zasadzie nie pełniły żadnej funkcji społecznej, podczas gdy nowa miejska forma magazynów musi nie tylko odpowiadać architektonicznie otoczeniu, ale również odpowiadać na potrzeby społeczne mieszkańców miast. </w:t>
      </w:r>
    </w:p>
    <w:p w:rsidR="009E30C1" w:rsidRDefault="009E30C1" w:rsidP="00D65824">
      <w:pPr>
        <w:jc w:val="both"/>
        <w:rPr>
          <w:rFonts w:cstheme="minorHAnsi"/>
          <w:lang w:val="pl-PL"/>
        </w:rPr>
      </w:pPr>
    </w:p>
    <w:p w:rsidR="009E30C1" w:rsidRPr="009E30C1" w:rsidRDefault="009E30C1" w:rsidP="00D65824">
      <w:pPr>
        <w:jc w:val="both"/>
        <w:rPr>
          <w:rFonts w:cstheme="minorHAnsi"/>
          <w:b/>
          <w:lang w:val="pl-PL"/>
        </w:rPr>
      </w:pPr>
      <w:r w:rsidRPr="009E30C1">
        <w:rPr>
          <w:rFonts w:cstheme="minorHAnsi"/>
          <w:b/>
          <w:lang w:val="pl-PL"/>
        </w:rPr>
        <w:t>Przyszłość rynku nieruchomości magazynowych</w:t>
      </w:r>
    </w:p>
    <w:p w:rsidR="009E30C1" w:rsidRDefault="009E30C1" w:rsidP="00D65824">
      <w:pPr>
        <w:jc w:val="both"/>
        <w:rPr>
          <w:rFonts w:cstheme="minorHAnsi"/>
          <w:lang w:val="pl-PL"/>
        </w:rPr>
      </w:pPr>
    </w:p>
    <w:p w:rsidR="004B2581" w:rsidRPr="00E63B0C" w:rsidRDefault="009E3AC2" w:rsidP="00D65824">
      <w:pPr>
        <w:jc w:val="both"/>
        <w:rPr>
          <w:rFonts w:cstheme="minorHAnsi"/>
          <w:lang w:val="pl-PL"/>
        </w:rPr>
      </w:pPr>
      <w:r>
        <w:rPr>
          <w:rFonts w:cstheme="minorHAnsi"/>
          <w:lang w:val="pl-PL"/>
        </w:rPr>
        <w:t>Obecna sytuacja związana z pandemią COVID-19 wzmocniła i przyspieszyła dominację sektora nieruchomości magazynowych w Polsce</w:t>
      </w:r>
      <w:r w:rsidR="004A04BB">
        <w:rPr>
          <w:rFonts w:cstheme="minorHAnsi"/>
          <w:lang w:val="pl-PL"/>
        </w:rPr>
        <w:t>,</w:t>
      </w:r>
      <w:r w:rsidR="004A04BB" w:rsidRPr="004A04BB">
        <w:rPr>
          <w:rFonts w:cstheme="minorHAnsi"/>
          <w:lang w:val="pl-PL"/>
        </w:rPr>
        <w:t xml:space="preserve"> </w:t>
      </w:r>
      <w:r w:rsidR="004A04BB">
        <w:rPr>
          <w:rFonts w:cstheme="minorHAnsi"/>
          <w:lang w:val="pl-PL"/>
        </w:rPr>
        <w:t xml:space="preserve">w szczególności wobec osłabienia innych tradycyjnych sektorów nieruchomości komercyjnych </w:t>
      </w:r>
      <w:r w:rsidR="002A629A">
        <w:rPr>
          <w:rFonts w:cstheme="minorHAnsi"/>
          <w:lang w:val="pl-PL"/>
        </w:rPr>
        <w:t xml:space="preserve">takich </w:t>
      </w:r>
      <w:r w:rsidR="004A04BB">
        <w:rPr>
          <w:rFonts w:cstheme="minorHAnsi"/>
          <w:lang w:val="pl-PL"/>
        </w:rPr>
        <w:t>jak biura, centra handlowe oraz hotele</w:t>
      </w:r>
      <w:r>
        <w:rPr>
          <w:rFonts w:cstheme="minorHAnsi"/>
          <w:lang w:val="pl-PL"/>
        </w:rPr>
        <w:t xml:space="preserve">. Sektor </w:t>
      </w:r>
      <w:r w:rsidR="004A04BB">
        <w:rPr>
          <w:rFonts w:cstheme="minorHAnsi"/>
          <w:lang w:val="pl-PL"/>
        </w:rPr>
        <w:t xml:space="preserve">magazynowy </w:t>
      </w:r>
      <w:r>
        <w:rPr>
          <w:rFonts w:cstheme="minorHAnsi"/>
          <w:lang w:val="pl-PL"/>
        </w:rPr>
        <w:t>wydaje się być odporny na obecną sytuację</w:t>
      </w:r>
      <w:r w:rsidR="00026F6A">
        <w:rPr>
          <w:rFonts w:cstheme="minorHAnsi"/>
          <w:lang w:val="pl-PL"/>
        </w:rPr>
        <w:t xml:space="preserve"> pandemiczną</w:t>
      </w:r>
      <w:r>
        <w:rPr>
          <w:rFonts w:cstheme="minorHAnsi"/>
          <w:lang w:val="pl-PL"/>
        </w:rPr>
        <w:t xml:space="preserve">, a wzrost znaczenia e-commerce </w:t>
      </w:r>
      <w:r w:rsidR="00026F6A">
        <w:rPr>
          <w:rFonts w:cstheme="minorHAnsi"/>
          <w:lang w:val="pl-PL"/>
        </w:rPr>
        <w:t xml:space="preserve">tylko pogłębia tę dominację. </w:t>
      </w:r>
      <w:r w:rsidR="004A04BB">
        <w:rPr>
          <w:rFonts w:cstheme="minorHAnsi"/>
          <w:lang w:val="pl-PL"/>
        </w:rPr>
        <w:t xml:space="preserve">Na rosnące </w:t>
      </w:r>
      <w:r w:rsidR="00A47E4A">
        <w:rPr>
          <w:rFonts w:cstheme="minorHAnsi"/>
          <w:lang w:val="pl-PL"/>
        </w:rPr>
        <w:t>zainteresowani</w:t>
      </w:r>
      <w:r w:rsidR="004A04BB">
        <w:rPr>
          <w:rFonts w:cstheme="minorHAnsi"/>
          <w:lang w:val="pl-PL"/>
        </w:rPr>
        <w:t>e</w:t>
      </w:r>
      <w:r w:rsidR="00A47E4A">
        <w:rPr>
          <w:rFonts w:cstheme="minorHAnsi"/>
          <w:lang w:val="pl-PL"/>
        </w:rPr>
        <w:t xml:space="preserve"> kolejnych inwestorów tym segmentem rynku odpowiadają deweloperzy</w:t>
      </w:r>
      <w:r w:rsidR="009208BB">
        <w:rPr>
          <w:rFonts w:cstheme="minorHAnsi"/>
          <w:lang w:val="pl-PL"/>
        </w:rPr>
        <w:t>,</w:t>
      </w:r>
      <w:r w:rsidR="00A47E4A">
        <w:rPr>
          <w:rFonts w:cstheme="minorHAnsi"/>
          <w:lang w:val="pl-PL"/>
        </w:rPr>
        <w:t xml:space="preserve"> oferuj</w:t>
      </w:r>
      <w:r w:rsidR="009208BB">
        <w:rPr>
          <w:rFonts w:cstheme="minorHAnsi"/>
          <w:lang w:val="pl-PL"/>
        </w:rPr>
        <w:t>ąc</w:t>
      </w:r>
      <w:r w:rsidR="00A47E4A">
        <w:rPr>
          <w:rFonts w:cstheme="minorHAnsi"/>
          <w:lang w:val="pl-PL"/>
        </w:rPr>
        <w:t xml:space="preserve"> potencjalnym inwestorom zróżnicowane modele współpracy i inwestowania.</w:t>
      </w:r>
      <w:r w:rsidR="004A04BB">
        <w:rPr>
          <w:rFonts w:cstheme="minorHAnsi"/>
          <w:lang w:val="pl-PL"/>
        </w:rPr>
        <w:t xml:space="preserve"> Daje to nadzieję na dalszy dynamiczny wzrost polskiego rynku magazynowego w</w:t>
      </w:r>
      <w:r w:rsidR="002A629A">
        <w:rPr>
          <w:rFonts w:cstheme="minorHAnsi"/>
          <w:lang w:val="pl-PL"/>
        </w:rPr>
        <w:t xml:space="preserve"> </w:t>
      </w:r>
      <w:r w:rsidR="004A04BB">
        <w:rPr>
          <w:rFonts w:cstheme="minorHAnsi"/>
          <w:lang w:val="pl-PL"/>
        </w:rPr>
        <w:t>najbliższych latach.</w:t>
      </w:r>
      <w:r w:rsidR="009208BB">
        <w:rPr>
          <w:rFonts w:cstheme="minorHAnsi"/>
          <w:lang w:val="pl-PL"/>
        </w:rPr>
        <w:t xml:space="preserve"> </w:t>
      </w:r>
    </w:p>
    <w:sectPr w:rsidR="004B2581" w:rsidRPr="00E63B0C" w:rsidSect="00FB2364">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5FAD" w:rsidRDefault="00425FAD" w:rsidP="00F07447">
      <w:r>
        <w:separator/>
      </w:r>
    </w:p>
  </w:endnote>
  <w:endnote w:type="continuationSeparator" w:id="0">
    <w:p w:rsidR="00425FAD" w:rsidRDefault="00425FAD" w:rsidP="00F074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Microsoft JhengHei"/>
    <w:panose1 w:val="02010601000101010101"/>
    <w:charset w:val="88"/>
    <w:family w:val="roman"/>
    <w:pitch w:val="variable"/>
    <w:sig w:usb0="A00002FF" w:usb1="28CFFCFA" w:usb2="00000016" w:usb3="00000000" w:csb0="001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447" w:rsidRDefault="00F074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447" w:rsidRDefault="00F0744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447" w:rsidRDefault="00F074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5FAD" w:rsidRDefault="00425FAD" w:rsidP="00F07447">
      <w:r>
        <w:separator/>
      </w:r>
    </w:p>
  </w:footnote>
  <w:footnote w:type="continuationSeparator" w:id="0">
    <w:p w:rsidR="00425FAD" w:rsidRDefault="00425FAD" w:rsidP="00F07447">
      <w:r>
        <w:continuationSeparator/>
      </w:r>
    </w:p>
  </w:footnote>
  <w:footnote w:id="1">
    <w:p w:rsidR="00BB0458" w:rsidRDefault="00BB0458" w:rsidP="00BB0458">
      <w:pPr>
        <w:pStyle w:val="FootnoteText"/>
        <w:rPr>
          <w:lang w:val="pl-PL"/>
        </w:rPr>
      </w:pPr>
      <w:r>
        <w:rPr>
          <w:rStyle w:val="FootnoteReference"/>
        </w:rPr>
        <w:footnoteRef/>
      </w:r>
      <w:r>
        <w:t xml:space="preserve"> </w:t>
      </w:r>
      <w:hyperlink r:id="rId1" w:history="1">
        <w:r w:rsidRPr="0016618B">
          <w:rPr>
            <w:rStyle w:val="Hyperlink"/>
            <w:lang w:val="pl-PL"/>
          </w:rPr>
          <w:t>https://magazyny.pl/blog/raporty/polski-rynek-magazynowy-po-raz-kolejny-na-europejskim-podium/</w:t>
        </w:r>
      </w:hyperlink>
    </w:p>
    <w:p w:rsidR="00BB0458" w:rsidRPr="00BB0458" w:rsidRDefault="00BB0458" w:rsidP="00BB0458">
      <w:pPr>
        <w:pStyle w:val="FootnoteText"/>
        <w:rPr>
          <w:lang w:val="pl-P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447" w:rsidRDefault="00F074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447" w:rsidRDefault="00F0744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447" w:rsidRDefault="00F074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D"/>
    <w:multiLevelType w:val="singleLevel"/>
    <w:tmpl w:val="D6D2B600"/>
    <w:lvl w:ilvl="0">
      <w:start w:val="1"/>
      <w:numFmt w:val="decimal"/>
      <w:lvlText w:val="%1."/>
      <w:lvlJc w:val="left"/>
      <w:pPr>
        <w:tabs>
          <w:tab w:val="num" w:pos="1209"/>
        </w:tabs>
        <w:ind w:left="1209" w:hanging="360"/>
      </w:pPr>
    </w:lvl>
  </w:abstractNum>
  <w:abstractNum w:abstractNumId="1" w15:restartNumberingAfterBreak="0">
    <w:nsid w:val="FFFFFF7E"/>
    <w:multiLevelType w:val="singleLevel"/>
    <w:tmpl w:val="7AD0052E"/>
    <w:lvl w:ilvl="0">
      <w:start w:val="1"/>
      <w:numFmt w:val="decimal"/>
      <w:lvlText w:val="%1."/>
      <w:lvlJc w:val="left"/>
      <w:pPr>
        <w:tabs>
          <w:tab w:val="num" w:pos="926"/>
        </w:tabs>
        <w:ind w:left="926" w:hanging="360"/>
      </w:pPr>
    </w:lvl>
  </w:abstractNum>
  <w:abstractNum w:abstractNumId="2" w15:restartNumberingAfterBreak="0">
    <w:nsid w:val="FFFFFF7F"/>
    <w:multiLevelType w:val="singleLevel"/>
    <w:tmpl w:val="6E16B86A"/>
    <w:lvl w:ilvl="0">
      <w:start w:val="1"/>
      <w:numFmt w:val="decimal"/>
      <w:lvlText w:val="%1."/>
      <w:lvlJc w:val="left"/>
      <w:pPr>
        <w:tabs>
          <w:tab w:val="num" w:pos="643"/>
        </w:tabs>
        <w:ind w:left="643" w:hanging="360"/>
      </w:pPr>
    </w:lvl>
  </w:abstractNum>
  <w:abstractNum w:abstractNumId="3" w15:restartNumberingAfterBreak="0">
    <w:nsid w:val="FFFFFF88"/>
    <w:multiLevelType w:val="singleLevel"/>
    <w:tmpl w:val="5A1C54EA"/>
    <w:lvl w:ilvl="0">
      <w:start w:val="1"/>
      <w:numFmt w:val="decimal"/>
      <w:lvlText w:val="%1."/>
      <w:lvlJc w:val="left"/>
      <w:pPr>
        <w:tabs>
          <w:tab w:val="num" w:pos="360"/>
        </w:tabs>
        <w:ind w:left="360" w:hanging="360"/>
      </w:pPr>
    </w:lvl>
  </w:abstractNum>
  <w:abstractNum w:abstractNumId="4" w15:restartNumberingAfterBreak="0">
    <w:nsid w:val="096C1985"/>
    <w:multiLevelType w:val="multilevel"/>
    <w:tmpl w:val="D70EC034"/>
    <w:styleLink w:val="BMSchedules"/>
    <w:lvl w:ilvl="0">
      <w:start w:val="1"/>
      <w:numFmt w:val="none"/>
      <w:lvlRestart w:val="0"/>
      <w:pStyle w:val="SchH1"/>
      <w:suff w:val="nothing"/>
      <w:lvlText w:val="%1"/>
      <w:lvlJc w:val="left"/>
      <w:pPr>
        <w:ind w:left="0" w:firstLine="0"/>
      </w:pPr>
      <w:rPr>
        <w:rFonts w:hint="default"/>
      </w:rPr>
    </w:lvl>
    <w:lvl w:ilvl="1">
      <w:start w:val="1"/>
      <w:numFmt w:val="decimal"/>
      <w:pStyle w:val="SchH2"/>
      <w:lvlText w:val="%1%2."/>
      <w:lvlJc w:val="left"/>
      <w:pPr>
        <w:tabs>
          <w:tab w:val="num" w:pos="709"/>
        </w:tabs>
        <w:ind w:left="709" w:hanging="709"/>
      </w:pPr>
      <w:rPr>
        <w:rFonts w:hint="default"/>
      </w:rPr>
    </w:lvl>
    <w:lvl w:ilvl="2">
      <w:start w:val="1"/>
      <w:numFmt w:val="decimal"/>
      <w:pStyle w:val="SchH3"/>
      <w:lvlText w:val="%2.%3"/>
      <w:lvlJc w:val="left"/>
      <w:pPr>
        <w:tabs>
          <w:tab w:val="num" w:pos="709"/>
        </w:tabs>
        <w:ind w:left="709" w:hanging="709"/>
      </w:pPr>
      <w:rPr>
        <w:rFonts w:hint="default"/>
      </w:rPr>
    </w:lvl>
    <w:lvl w:ilvl="3">
      <w:start w:val="1"/>
      <w:numFmt w:val="lowerLetter"/>
      <w:pStyle w:val="SchH4"/>
      <w:lvlText w:val="(%4)"/>
      <w:lvlJc w:val="left"/>
      <w:pPr>
        <w:tabs>
          <w:tab w:val="num" w:pos="1418"/>
        </w:tabs>
        <w:ind w:left="1418" w:hanging="709"/>
      </w:pPr>
      <w:rPr>
        <w:rFonts w:hint="default"/>
      </w:rPr>
    </w:lvl>
    <w:lvl w:ilvl="4">
      <w:start w:val="1"/>
      <w:numFmt w:val="lowerRoman"/>
      <w:pStyle w:val="SchH5"/>
      <w:lvlText w:val="(%5)"/>
      <w:lvlJc w:val="left"/>
      <w:pPr>
        <w:tabs>
          <w:tab w:val="num" w:pos="2126"/>
        </w:tabs>
        <w:ind w:left="2126" w:hanging="708"/>
      </w:pPr>
      <w:rPr>
        <w:rFonts w:hint="default"/>
      </w:rPr>
    </w:lvl>
    <w:lvl w:ilvl="5">
      <w:start w:val="1"/>
      <w:numFmt w:val="upperLetter"/>
      <w:pStyle w:val="SchH6"/>
      <w:lvlText w:val="(%6)"/>
      <w:lvlJc w:val="left"/>
      <w:pPr>
        <w:tabs>
          <w:tab w:val="num" w:pos="2835"/>
        </w:tabs>
        <w:ind w:left="2835" w:hanging="709"/>
      </w:pPr>
      <w:rPr>
        <w:rFonts w:hint="default"/>
      </w:rPr>
    </w:lvl>
    <w:lvl w:ilvl="6">
      <w:start w:val="1"/>
      <w:numFmt w:val="decimal"/>
      <w:lvlText w:val="(%7)"/>
      <w:lvlJc w:val="left"/>
      <w:pPr>
        <w:tabs>
          <w:tab w:val="num" w:pos="3544"/>
        </w:tabs>
        <w:ind w:left="3544" w:hanging="709"/>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5" w15:restartNumberingAfterBreak="0">
    <w:nsid w:val="099F52AB"/>
    <w:multiLevelType w:val="multilevel"/>
    <w:tmpl w:val="D70EC034"/>
    <w:numStyleLink w:val="BMSchedules"/>
  </w:abstractNum>
  <w:abstractNum w:abstractNumId="6" w15:restartNumberingAfterBreak="0">
    <w:nsid w:val="21BE28D7"/>
    <w:multiLevelType w:val="hybridMultilevel"/>
    <w:tmpl w:val="F3B6362C"/>
    <w:lvl w:ilvl="0" w:tplc="B206003A">
      <w:start w:val="1"/>
      <w:numFmt w:val="upperLetter"/>
      <w:pStyle w:val="Recital"/>
      <w:lvlText w:val="%1"/>
      <w:lvlJc w:val="left"/>
      <w:pPr>
        <w:tabs>
          <w:tab w:val="num" w:pos="709"/>
        </w:tabs>
        <w:ind w:left="709" w:hanging="709"/>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7" w15:restartNumberingAfterBreak="0">
    <w:nsid w:val="2F1C7A27"/>
    <w:multiLevelType w:val="hybridMultilevel"/>
    <w:tmpl w:val="06924C16"/>
    <w:lvl w:ilvl="0" w:tplc="1434604E">
      <w:start w:val="1"/>
      <w:numFmt w:val="bullet"/>
      <w:lvlText w:val=""/>
      <w:lvlJc w:val="left"/>
      <w:pPr>
        <w:tabs>
          <w:tab w:val="num" w:pos="357"/>
        </w:tabs>
        <w:ind w:left="357" w:hanging="357"/>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F451C4C"/>
    <w:multiLevelType w:val="multilevel"/>
    <w:tmpl w:val="7B24B224"/>
    <w:styleLink w:val="BMHeadings"/>
    <w:lvl w:ilvl="0">
      <w:start w:val="1"/>
      <w:numFmt w:val="none"/>
      <w:pStyle w:val="Heading1"/>
      <w:suff w:val="nothing"/>
      <w:lvlText w:val=""/>
      <w:lvlJc w:val="left"/>
      <w:pPr>
        <w:ind w:left="0" w:firstLine="0"/>
      </w:pPr>
      <w:rPr>
        <w:rFonts w:hint="default"/>
      </w:rPr>
    </w:lvl>
    <w:lvl w:ilvl="1">
      <w:start w:val="1"/>
      <w:numFmt w:val="decimal"/>
      <w:pStyle w:val="Heading2"/>
      <w:lvlText w:val="%2."/>
      <w:lvlJc w:val="left"/>
      <w:pPr>
        <w:tabs>
          <w:tab w:val="num" w:pos="709"/>
        </w:tabs>
        <w:ind w:left="709" w:hanging="709"/>
      </w:pPr>
      <w:rPr>
        <w:rFonts w:hint="default"/>
      </w:rPr>
    </w:lvl>
    <w:lvl w:ilvl="2">
      <w:start w:val="1"/>
      <w:numFmt w:val="decimal"/>
      <w:pStyle w:val="Heading3"/>
      <w:lvlText w:val="%2.%3"/>
      <w:lvlJc w:val="left"/>
      <w:pPr>
        <w:tabs>
          <w:tab w:val="num" w:pos="709"/>
        </w:tabs>
        <w:ind w:left="709" w:hanging="709"/>
      </w:pPr>
      <w:rPr>
        <w:rFonts w:hint="default"/>
      </w:rPr>
    </w:lvl>
    <w:lvl w:ilvl="3">
      <w:start w:val="1"/>
      <w:numFmt w:val="lowerLetter"/>
      <w:pStyle w:val="Heading4"/>
      <w:lvlText w:val="(%4)"/>
      <w:lvlJc w:val="left"/>
      <w:pPr>
        <w:tabs>
          <w:tab w:val="num" w:pos="1418"/>
        </w:tabs>
        <w:ind w:left="1418" w:hanging="709"/>
      </w:pPr>
      <w:rPr>
        <w:rFonts w:hint="default"/>
      </w:rPr>
    </w:lvl>
    <w:lvl w:ilvl="4">
      <w:start w:val="1"/>
      <w:numFmt w:val="lowerRoman"/>
      <w:pStyle w:val="Heading5"/>
      <w:lvlText w:val="(%5)"/>
      <w:lvlJc w:val="left"/>
      <w:pPr>
        <w:tabs>
          <w:tab w:val="num" w:pos="2126"/>
        </w:tabs>
        <w:ind w:left="2126" w:hanging="708"/>
      </w:pPr>
      <w:rPr>
        <w:rFonts w:hint="default"/>
      </w:rPr>
    </w:lvl>
    <w:lvl w:ilvl="5">
      <w:start w:val="1"/>
      <w:numFmt w:val="upperLetter"/>
      <w:pStyle w:val="Heading6"/>
      <w:lvlText w:val="(%6)"/>
      <w:lvlJc w:val="left"/>
      <w:pPr>
        <w:tabs>
          <w:tab w:val="num" w:pos="2835"/>
        </w:tabs>
        <w:ind w:left="2835" w:hanging="709"/>
      </w:pPr>
      <w:rPr>
        <w:rFonts w:hint="default"/>
      </w:rPr>
    </w:lvl>
    <w:lvl w:ilvl="6">
      <w:start w:val="1"/>
      <w:numFmt w:val="decimal"/>
      <w:pStyle w:val="Heading7"/>
      <w:lvlText w:val="(%7)"/>
      <w:lvlJc w:val="left"/>
      <w:pPr>
        <w:tabs>
          <w:tab w:val="num" w:pos="2835"/>
        </w:tabs>
        <w:ind w:left="3544" w:hanging="709"/>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9" w15:restartNumberingAfterBreak="0">
    <w:nsid w:val="387F30F6"/>
    <w:multiLevelType w:val="hybridMultilevel"/>
    <w:tmpl w:val="360CF96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40622118"/>
    <w:multiLevelType w:val="multilevel"/>
    <w:tmpl w:val="F492126A"/>
    <w:styleLink w:val="BMListNumbers"/>
    <w:lvl w:ilvl="0">
      <w:start w:val="1"/>
      <w:numFmt w:val="decimal"/>
      <w:pStyle w:val="ListNumber"/>
      <w:lvlText w:val="%1."/>
      <w:lvlJc w:val="left"/>
      <w:pPr>
        <w:tabs>
          <w:tab w:val="num" w:pos="709"/>
        </w:tabs>
        <w:ind w:left="709" w:hanging="709"/>
      </w:pPr>
      <w:rPr>
        <w:rFonts w:hint="default"/>
      </w:rPr>
    </w:lvl>
    <w:lvl w:ilvl="1">
      <w:start w:val="1"/>
      <w:numFmt w:val="lowerLetter"/>
      <w:lvlRestart w:val="0"/>
      <w:pStyle w:val="ListNumber2"/>
      <w:lvlText w:val="(%2)"/>
      <w:lvlJc w:val="left"/>
      <w:pPr>
        <w:tabs>
          <w:tab w:val="num" w:pos="1418"/>
        </w:tabs>
        <w:ind w:left="1418" w:hanging="709"/>
      </w:pPr>
      <w:rPr>
        <w:rFonts w:hint="default"/>
      </w:rPr>
    </w:lvl>
    <w:lvl w:ilvl="2">
      <w:start w:val="1"/>
      <w:numFmt w:val="lowerRoman"/>
      <w:lvlRestart w:val="0"/>
      <w:pStyle w:val="ListNumber3"/>
      <w:lvlText w:val="(%3)"/>
      <w:lvlJc w:val="left"/>
      <w:pPr>
        <w:tabs>
          <w:tab w:val="num" w:pos="2126"/>
        </w:tabs>
        <w:ind w:left="2126" w:hanging="708"/>
      </w:pPr>
      <w:rPr>
        <w:rFonts w:hint="default"/>
      </w:rPr>
    </w:lvl>
    <w:lvl w:ilvl="3">
      <w:start w:val="1"/>
      <w:numFmt w:val="upperLetter"/>
      <w:lvlRestart w:val="0"/>
      <w:pStyle w:val="ListNumber4"/>
      <w:lvlText w:val="(%4)"/>
      <w:lvlJc w:val="left"/>
      <w:pPr>
        <w:tabs>
          <w:tab w:val="num" w:pos="2835"/>
        </w:tabs>
        <w:ind w:left="2835" w:hanging="709"/>
      </w:pPr>
      <w:rPr>
        <w:rFonts w:hint="default"/>
      </w:rPr>
    </w:lvl>
    <w:lvl w:ilvl="4">
      <w:start w:val="1"/>
      <w:numFmt w:val="none"/>
      <w:lvlRestart w:val="0"/>
      <w:suff w:val="nothing"/>
      <w:lvlText w:val=""/>
      <w:lvlJc w:val="left"/>
      <w:pPr>
        <w:ind w:left="0" w:firstLine="0"/>
      </w:pPr>
      <w:rPr>
        <w:rFonts w:hint="default"/>
      </w:rPr>
    </w:lvl>
    <w:lvl w:ilvl="5">
      <w:start w:val="1"/>
      <w:numFmt w:val="none"/>
      <w:lvlRestart w:val="0"/>
      <w:suff w:val="nothing"/>
      <w:lvlText w:val=""/>
      <w:lvlJc w:val="left"/>
      <w:pPr>
        <w:ind w:left="0" w:firstLine="0"/>
      </w:pPr>
      <w:rPr>
        <w:rFonts w:hint="default"/>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11" w15:restartNumberingAfterBreak="0">
    <w:nsid w:val="48FC3910"/>
    <w:multiLevelType w:val="multilevel"/>
    <w:tmpl w:val="7B24B224"/>
    <w:numStyleLink w:val="BMHeadings"/>
  </w:abstractNum>
  <w:abstractNum w:abstractNumId="12" w15:restartNumberingAfterBreak="0">
    <w:nsid w:val="517C537A"/>
    <w:multiLevelType w:val="multilevel"/>
    <w:tmpl w:val="F81835CC"/>
    <w:styleLink w:val="BMDefinitions"/>
    <w:lvl w:ilvl="0">
      <w:start w:val="1"/>
      <w:numFmt w:val="none"/>
      <w:pStyle w:val="DefinitionParagraph"/>
      <w:suff w:val="nothing"/>
      <w:lvlText w:val=""/>
      <w:lvlJc w:val="left"/>
      <w:pPr>
        <w:ind w:left="709" w:firstLine="0"/>
      </w:pPr>
      <w:rPr>
        <w:rFonts w:hint="default"/>
      </w:rPr>
    </w:lvl>
    <w:lvl w:ilvl="1">
      <w:start w:val="1"/>
      <w:numFmt w:val="lowerLetter"/>
      <w:lvlText w:val="(%2)"/>
      <w:lvlJc w:val="left"/>
      <w:pPr>
        <w:tabs>
          <w:tab w:val="num" w:pos="1418"/>
        </w:tabs>
        <w:ind w:left="1418" w:hanging="709"/>
      </w:pPr>
      <w:rPr>
        <w:rFonts w:hint="default"/>
      </w:rPr>
    </w:lvl>
    <w:lvl w:ilvl="2">
      <w:start w:val="1"/>
      <w:numFmt w:val="lowerRoman"/>
      <w:lvlText w:val="(%3)"/>
      <w:lvlJc w:val="left"/>
      <w:pPr>
        <w:tabs>
          <w:tab w:val="num" w:pos="2126"/>
        </w:tabs>
        <w:ind w:left="2126" w:hanging="708"/>
      </w:pPr>
      <w:rPr>
        <w:rFonts w:hint="default"/>
      </w:rPr>
    </w:lvl>
    <w:lvl w:ilvl="3">
      <w:start w:val="1"/>
      <w:numFmt w:val="upperLetter"/>
      <w:lvlText w:val="(%4)"/>
      <w:lvlJc w:val="left"/>
      <w:pPr>
        <w:tabs>
          <w:tab w:val="num" w:pos="2835"/>
        </w:tabs>
        <w:ind w:left="2835" w:hanging="709"/>
      </w:pPr>
      <w:rPr>
        <w:rFonts w:hint="default"/>
      </w:rPr>
    </w:lvl>
    <w:lvl w:ilvl="4">
      <w:start w:val="1"/>
      <w:numFmt w:val="none"/>
      <w:lvlRestart w:val="0"/>
      <w:suff w:val="nothing"/>
      <w:lvlText w:val=""/>
      <w:lvlJc w:val="left"/>
      <w:pPr>
        <w:ind w:left="0" w:firstLine="0"/>
      </w:pPr>
      <w:rPr>
        <w:rFonts w:hint="default"/>
      </w:rPr>
    </w:lvl>
    <w:lvl w:ilvl="5">
      <w:start w:val="1"/>
      <w:numFmt w:val="none"/>
      <w:lvlRestart w:val="0"/>
      <w:suff w:val="nothing"/>
      <w:lvlText w:val=""/>
      <w:lvlJc w:val="left"/>
      <w:pPr>
        <w:ind w:left="0" w:firstLine="0"/>
      </w:pPr>
      <w:rPr>
        <w:rFonts w:hint="default"/>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13" w15:restartNumberingAfterBreak="0">
    <w:nsid w:val="538B3700"/>
    <w:multiLevelType w:val="hybridMultilevel"/>
    <w:tmpl w:val="64EE9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3867F6"/>
    <w:multiLevelType w:val="hybridMultilevel"/>
    <w:tmpl w:val="1BCEEF14"/>
    <w:lvl w:ilvl="0" w:tplc="72441892">
      <w:start w:val="1"/>
      <w:numFmt w:val="bullet"/>
      <w:lvlText w:val=""/>
      <w:lvlJc w:val="left"/>
      <w:pPr>
        <w:tabs>
          <w:tab w:val="num" w:pos="709"/>
        </w:tabs>
        <w:ind w:left="709" w:hanging="709"/>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2C54C2B"/>
    <w:multiLevelType w:val="hybridMultilevel"/>
    <w:tmpl w:val="4A642B7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12"/>
  </w:num>
  <w:num w:numId="4">
    <w:abstractNumId w:val="8"/>
  </w:num>
  <w:num w:numId="5">
    <w:abstractNumId w:val="10"/>
  </w:num>
  <w:num w:numId="6">
    <w:abstractNumId w:val="4"/>
  </w:num>
  <w:num w:numId="7">
    <w:abstractNumId w:val="12"/>
  </w:num>
  <w:num w:numId="8">
    <w:abstractNumId w:val="6"/>
  </w:num>
  <w:num w:numId="9">
    <w:abstractNumId w:val="5"/>
  </w:num>
  <w:num w:numId="10">
    <w:abstractNumId w:val="5"/>
  </w:num>
  <w:num w:numId="11">
    <w:abstractNumId w:val="5"/>
  </w:num>
  <w:num w:numId="12">
    <w:abstractNumId w:val="5"/>
  </w:num>
  <w:num w:numId="13">
    <w:abstractNumId w:val="5"/>
  </w:num>
  <w:num w:numId="14">
    <w:abstractNumId w:val="5"/>
  </w:num>
  <w:num w:numId="15">
    <w:abstractNumId w:val="11"/>
  </w:num>
  <w:num w:numId="16">
    <w:abstractNumId w:val="11"/>
  </w:num>
  <w:num w:numId="17">
    <w:abstractNumId w:val="11"/>
  </w:num>
  <w:num w:numId="18">
    <w:abstractNumId w:val="11"/>
  </w:num>
  <w:num w:numId="19">
    <w:abstractNumId w:val="11"/>
  </w:num>
  <w:num w:numId="20">
    <w:abstractNumId w:val="11"/>
  </w:num>
  <w:num w:numId="21">
    <w:abstractNumId w:val="11"/>
  </w:num>
  <w:num w:numId="22">
    <w:abstractNumId w:val="3"/>
  </w:num>
  <w:num w:numId="23">
    <w:abstractNumId w:val="10"/>
  </w:num>
  <w:num w:numId="24">
    <w:abstractNumId w:val="2"/>
  </w:num>
  <w:num w:numId="25">
    <w:abstractNumId w:val="10"/>
  </w:num>
  <w:num w:numId="26">
    <w:abstractNumId w:val="1"/>
  </w:num>
  <w:num w:numId="27">
    <w:abstractNumId w:val="10"/>
  </w:num>
  <w:num w:numId="28">
    <w:abstractNumId w:val="0"/>
  </w:num>
  <w:num w:numId="29">
    <w:abstractNumId w:val="10"/>
  </w:num>
  <w:num w:numId="30">
    <w:abstractNumId w:val="9"/>
  </w:num>
  <w:num w:numId="31">
    <w:abstractNumId w:val="15"/>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OfficeIni" w:val="Warsaw - ENGLISH.ini"/>
  </w:docVars>
  <w:rsids>
    <w:rsidRoot w:val="00F07447"/>
    <w:rsid w:val="00026F6A"/>
    <w:rsid w:val="000F1D38"/>
    <w:rsid w:val="00101EB1"/>
    <w:rsid w:val="001329E0"/>
    <w:rsid w:val="001A1617"/>
    <w:rsid w:val="001D1BDB"/>
    <w:rsid w:val="001E7230"/>
    <w:rsid w:val="002658D6"/>
    <w:rsid w:val="00275A11"/>
    <w:rsid w:val="002A3C8D"/>
    <w:rsid w:val="002A629A"/>
    <w:rsid w:val="002F1727"/>
    <w:rsid w:val="002F506B"/>
    <w:rsid w:val="00316743"/>
    <w:rsid w:val="00356469"/>
    <w:rsid w:val="003A4332"/>
    <w:rsid w:val="003C7ACC"/>
    <w:rsid w:val="003F2E5B"/>
    <w:rsid w:val="00424E4C"/>
    <w:rsid w:val="00425FAD"/>
    <w:rsid w:val="00464748"/>
    <w:rsid w:val="00473C88"/>
    <w:rsid w:val="004A04BB"/>
    <w:rsid w:val="004B2581"/>
    <w:rsid w:val="0050027C"/>
    <w:rsid w:val="00500493"/>
    <w:rsid w:val="00543DBC"/>
    <w:rsid w:val="00586C9D"/>
    <w:rsid w:val="005B553B"/>
    <w:rsid w:val="005C1BB4"/>
    <w:rsid w:val="0060659B"/>
    <w:rsid w:val="00684266"/>
    <w:rsid w:val="006A0822"/>
    <w:rsid w:val="006C569C"/>
    <w:rsid w:val="006D04D6"/>
    <w:rsid w:val="0074048F"/>
    <w:rsid w:val="007C54A5"/>
    <w:rsid w:val="007E1A4C"/>
    <w:rsid w:val="00811B53"/>
    <w:rsid w:val="00816E19"/>
    <w:rsid w:val="00844F97"/>
    <w:rsid w:val="0086638D"/>
    <w:rsid w:val="008A1C7F"/>
    <w:rsid w:val="008A5C43"/>
    <w:rsid w:val="008F4535"/>
    <w:rsid w:val="009208BB"/>
    <w:rsid w:val="00966EED"/>
    <w:rsid w:val="00995E4A"/>
    <w:rsid w:val="009C16B1"/>
    <w:rsid w:val="009E30C1"/>
    <w:rsid w:val="009E3AC2"/>
    <w:rsid w:val="00A44166"/>
    <w:rsid w:val="00A47E4A"/>
    <w:rsid w:val="00A62460"/>
    <w:rsid w:val="00A74851"/>
    <w:rsid w:val="00A9433A"/>
    <w:rsid w:val="00AA3E31"/>
    <w:rsid w:val="00AD0E60"/>
    <w:rsid w:val="00B314D6"/>
    <w:rsid w:val="00BA43C5"/>
    <w:rsid w:val="00BB0458"/>
    <w:rsid w:val="00BD1CDC"/>
    <w:rsid w:val="00BF3A90"/>
    <w:rsid w:val="00C1267A"/>
    <w:rsid w:val="00C6624C"/>
    <w:rsid w:val="00C671C7"/>
    <w:rsid w:val="00CC092E"/>
    <w:rsid w:val="00CC38B7"/>
    <w:rsid w:val="00D0411F"/>
    <w:rsid w:val="00D36FF0"/>
    <w:rsid w:val="00D65824"/>
    <w:rsid w:val="00D866E8"/>
    <w:rsid w:val="00E63B0C"/>
    <w:rsid w:val="00F07447"/>
    <w:rsid w:val="00F62C87"/>
    <w:rsid w:val="00FB2364"/>
    <w:rsid w:val="00FD121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0FB6EF84-AE25-444E-AECE-AF17FF919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1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7"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7" w:unhideWhenUsed="1" w:qFormat="1"/>
    <w:lsdException w:name="List Number 3" w:semiHidden="1" w:uiPriority="7" w:unhideWhenUsed="1" w:qFormat="1"/>
    <w:lsdException w:name="List Number 4" w:semiHidden="1" w:uiPriority="7" w:unhideWhenUsed="1" w:qFormat="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6"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1"/>
    <w:rsid w:val="00CC092E"/>
    <w:pPr>
      <w:spacing w:after="0" w:line="240" w:lineRule="auto"/>
    </w:pPr>
    <w:rPr>
      <w:rFonts w:eastAsiaTheme="minorEastAsia"/>
      <w:szCs w:val="28"/>
      <w:lang w:val="en-AU" w:eastAsia="zh-CN"/>
    </w:rPr>
  </w:style>
  <w:style w:type="paragraph" w:styleId="Heading1">
    <w:name w:val="heading 1"/>
    <w:basedOn w:val="Normal"/>
    <w:next w:val="BodyText"/>
    <w:link w:val="Heading1Char"/>
    <w:qFormat/>
    <w:rsid w:val="00CC092E"/>
    <w:pPr>
      <w:keepNext/>
      <w:numPr>
        <w:numId w:val="21"/>
      </w:numPr>
      <w:spacing w:after="180" w:line="260" w:lineRule="atLeast"/>
      <w:outlineLvl w:val="0"/>
    </w:pPr>
    <w:rPr>
      <w:rFonts w:asciiTheme="majorHAnsi" w:eastAsiaTheme="majorEastAsia" w:hAnsiTheme="majorHAnsi" w:cstheme="majorHAnsi"/>
      <w:b/>
      <w:bCs/>
    </w:rPr>
  </w:style>
  <w:style w:type="paragraph" w:styleId="Heading2">
    <w:name w:val="heading 2"/>
    <w:basedOn w:val="Normal"/>
    <w:next w:val="BodyText"/>
    <w:link w:val="Heading2Char"/>
    <w:qFormat/>
    <w:rsid w:val="00CC092E"/>
    <w:pPr>
      <w:keepNext/>
      <w:numPr>
        <w:ilvl w:val="1"/>
        <w:numId w:val="21"/>
      </w:numPr>
      <w:spacing w:after="180" w:line="260" w:lineRule="atLeast"/>
      <w:outlineLvl w:val="1"/>
    </w:pPr>
    <w:rPr>
      <w:rFonts w:asciiTheme="majorHAnsi" w:eastAsiaTheme="majorEastAsia" w:hAnsiTheme="majorHAnsi" w:cstheme="majorHAnsi"/>
      <w:b/>
      <w:bCs/>
    </w:rPr>
  </w:style>
  <w:style w:type="paragraph" w:styleId="Heading3">
    <w:name w:val="heading 3"/>
    <w:basedOn w:val="Normal"/>
    <w:link w:val="Heading3Char"/>
    <w:qFormat/>
    <w:rsid w:val="00CC092E"/>
    <w:pPr>
      <w:numPr>
        <w:ilvl w:val="2"/>
        <w:numId w:val="21"/>
      </w:numPr>
      <w:spacing w:after="180" w:line="260" w:lineRule="atLeast"/>
      <w:outlineLvl w:val="2"/>
    </w:pPr>
  </w:style>
  <w:style w:type="paragraph" w:styleId="Heading4">
    <w:name w:val="heading 4"/>
    <w:basedOn w:val="Normal"/>
    <w:link w:val="Heading4Char"/>
    <w:qFormat/>
    <w:rsid w:val="00CC092E"/>
    <w:pPr>
      <w:numPr>
        <w:ilvl w:val="3"/>
        <w:numId w:val="21"/>
      </w:numPr>
      <w:spacing w:after="180" w:line="260" w:lineRule="atLeast"/>
      <w:outlineLvl w:val="3"/>
    </w:pPr>
  </w:style>
  <w:style w:type="paragraph" w:styleId="Heading5">
    <w:name w:val="heading 5"/>
    <w:basedOn w:val="Normal"/>
    <w:link w:val="Heading5Char"/>
    <w:qFormat/>
    <w:rsid w:val="00CC092E"/>
    <w:pPr>
      <w:numPr>
        <w:ilvl w:val="4"/>
        <w:numId w:val="21"/>
      </w:numPr>
      <w:spacing w:after="180" w:line="260" w:lineRule="atLeast"/>
      <w:outlineLvl w:val="4"/>
    </w:pPr>
  </w:style>
  <w:style w:type="paragraph" w:styleId="Heading6">
    <w:name w:val="heading 6"/>
    <w:basedOn w:val="Normal"/>
    <w:link w:val="Heading6Char"/>
    <w:qFormat/>
    <w:rsid w:val="00CC092E"/>
    <w:pPr>
      <w:numPr>
        <w:ilvl w:val="5"/>
        <w:numId w:val="21"/>
      </w:numPr>
      <w:spacing w:after="180" w:line="260" w:lineRule="atLeast"/>
      <w:outlineLvl w:val="5"/>
    </w:pPr>
  </w:style>
  <w:style w:type="paragraph" w:styleId="Heading7">
    <w:name w:val="heading 7"/>
    <w:basedOn w:val="Normal"/>
    <w:link w:val="Heading7Char"/>
    <w:qFormat/>
    <w:rsid w:val="00CC092E"/>
    <w:pPr>
      <w:numPr>
        <w:ilvl w:val="6"/>
        <w:numId w:val="21"/>
      </w:numPr>
      <w:spacing w:after="180" w:line="260" w:lineRule="atLeast"/>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1">
    <w:name w:val="Bullet 1"/>
    <w:basedOn w:val="Normal"/>
    <w:uiPriority w:val="8"/>
    <w:qFormat/>
    <w:rsid w:val="00CC092E"/>
    <w:pPr>
      <w:spacing w:after="180" w:line="260" w:lineRule="atLeast"/>
    </w:pPr>
  </w:style>
  <w:style w:type="paragraph" w:customStyle="1" w:styleId="Bullet2">
    <w:name w:val="Bullet 2"/>
    <w:basedOn w:val="Normal"/>
    <w:uiPriority w:val="8"/>
    <w:qFormat/>
    <w:rsid w:val="00CC092E"/>
    <w:pPr>
      <w:spacing w:line="260" w:lineRule="atLeast"/>
    </w:pPr>
  </w:style>
  <w:style w:type="numbering" w:customStyle="1" w:styleId="BMDefinitions">
    <w:name w:val="B&amp;M Definitions"/>
    <w:uiPriority w:val="99"/>
    <w:rsid w:val="00CC092E"/>
    <w:pPr>
      <w:numPr>
        <w:numId w:val="3"/>
      </w:numPr>
    </w:pPr>
  </w:style>
  <w:style w:type="numbering" w:customStyle="1" w:styleId="BMHeadings">
    <w:name w:val="B&amp;M Headings"/>
    <w:uiPriority w:val="99"/>
    <w:rsid w:val="00CC092E"/>
    <w:pPr>
      <w:numPr>
        <w:numId w:val="4"/>
      </w:numPr>
    </w:pPr>
  </w:style>
  <w:style w:type="numbering" w:customStyle="1" w:styleId="BMListNumbers">
    <w:name w:val="B&amp;M List Numbers"/>
    <w:uiPriority w:val="99"/>
    <w:rsid w:val="00CC092E"/>
    <w:pPr>
      <w:numPr>
        <w:numId w:val="5"/>
      </w:numPr>
    </w:pPr>
  </w:style>
  <w:style w:type="numbering" w:customStyle="1" w:styleId="BMSchedules">
    <w:name w:val="B&amp;M Schedules"/>
    <w:uiPriority w:val="99"/>
    <w:rsid w:val="00CC092E"/>
    <w:pPr>
      <w:numPr>
        <w:numId w:val="6"/>
      </w:numPr>
    </w:pPr>
  </w:style>
  <w:style w:type="paragraph" w:customStyle="1" w:styleId="BMKAddressInfo">
    <w:name w:val="BMK Address Info"/>
    <w:link w:val="BMKAddressInfoChar"/>
    <w:semiHidden/>
    <w:rsid w:val="00CC092E"/>
    <w:pPr>
      <w:spacing w:after="0" w:line="240" w:lineRule="auto"/>
    </w:pPr>
    <w:rPr>
      <w:rFonts w:ascii="Arial" w:eastAsia="PMingLiU" w:hAnsi="Arial"/>
      <w:noProof/>
      <w:sz w:val="16"/>
      <w:lang w:val="en-AU" w:eastAsia="zh-CN"/>
    </w:rPr>
  </w:style>
  <w:style w:type="character" w:customStyle="1" w:styleId="BMKAddressInfoChar">
    <w:name w:val="BMK Address Info Char"/>
    <w:link w:val="BMKAddressInfo"/>
    <w:semiHidden/>
    <w:rsid w:val="00CC092E"/>
    <w:rPr>
      <w:rFonts w:ascii="Arial" w:eastAsia="PMingLiU" w:hAnsi="Arial"/>
      <w:noProof/>
      <w:sz w:val="16"/>
      <w:lang w:val="en-AU" w:eastAsia="zh-CN"/>
    </w:rPr>
  </w:style>
  <w:style w:type="paragraph" w:customStyle="1" w:styleId="BMKAddress1">
    <w:name w:val="BMK Address1"/>
    <w:basedOn w:val="Normal"/>
    <w:semiHidden/>
    <w:rsid w:val="00CC092E"/>
    <w:pPr>
      <w:spacing w:line="260" w:lineRule="atLeast"/>
    </w:pPr>
  </w:style>
  <w:style w:type="paragraph" w:customStyle="1" w:styleId="BMKAttention">
    <w:name w:val="BMK Attention"/>
    <w:basedOn w:val="Normal"/>
    <w:semiHidden/>
    <w:rsid w:val="00CC092E"/>
    <w:pPr>
      <w:spacing w:line="260" w:lineRule="atLeast"/>
    </w:pPr>
  </w:style>
  <w:style w:type="paragraph" w:customStyle="1" w:styleId="BMKCities">
    <w:name w:val="BMK Cities"/>
    <w:semiHidden/>
    <w:rsid w:val="00CC092E"/>
    <w:pPr>
      <w:spacing w:after="0" w:line="240" w:lineRule="auto"/>
    </w:pPr>
    <w:rPr>
      <w:rFonts w:ascii="Arial" w:eastAsia="PMingLiU" w:hAnsi="Arial"/>
      <w:noProof/>
      <w:spacing w:val="2"/>
      <w:sz w:val="11"/>
      <w:szCs w:val="11"/>
      <w:lang w:val="en-AU" w:eastAsia="zh-CN"/>
    </w:rPr>
  </w:style>
  <w:style w:type="paragraph" w:customStyle="1" w:styleId="BMKCitiesSpace">
    <w:name w:val="BMK Cities Space"/>
    <w:basedOn w:val="BMKCities"/>
    <w:semiHidden/>
    <w:rsid w:val="00CC092E"/>
  </w:style>
  <w:style w:type="paragraph" w:customStyle="1" w:styleId="BMKDeliveryPhrase">
    <w:name w:val="BMK Delivery Phrase"/>
    <w:basedOn w:val="BMKAddressInfo"/>
    <w:semiHidden/>
    <w:rsid w:val="00CC092E"/>
    <w:pPr>
      <w:framePr w:w="2943" w:h="1734" w:hRule="exact" w:wrap="around" w:vAnchor="text" w:hAnchor="page" w:x="8533" w:y="208"/>
    </w:pPr>
    <w:rPr>
      <w:b/>
    </w:rPr>
  </w:style>
  <w:style w:type="paragraph" w:customStyle="1" w:styleId="BMKDocumentName">
    <w:name w:val="BMK Document Name"/>
    <w:basedOn w:val="Normal"/>
    <w:next w:val="Normal"/>
    <w:semiHidden/>
    <w:rsid w:val="00CC092E"/>
    <w:pPr>
      <w:tabs>
        <w:tab w:val="left" w:pos="2761"/>
        <w:tab w:val="left" w:pos="3470"/>
        <w:tab w:val="left" w:pos="4179"/>
        <w:tab w:val="left" w:pos="4888"/>
        <w:tab w:val="right" w:pos="9849"/>
      </w:tabs>
      <w:spacing w:line="200" w:lineRule="atLeast"/>
    </w:pPr>
    <w:rPr>
      <w:rFonts w:ascii="Arial Black" w:hAnsi="Arial Black"/>
      <w:b/>
      <w:bCs/>
      <w:noProof/>
      <w:sz w:val="18"/>
    </w:rPr>
  </w:style>
  <w:style w:type="paragraph" w:customStyle="1" w:styleId="BMKDocumentNameHK">
    <w:name w:val="BMK Document Name HK"/>
    <w:basedOn w:val="Normal"/>
    <w:next w:val="Normal"/>
    <w:semiHidden/>
    <w:rsid w:val="00CC092E"/>
    <w:pPr>
      <w:spacing w:line="200" w:lineRule="atLeast"/>
    </w:pPr>
    <w:rPr>
      <w:rFonts w:ascii="Arial Black" w:eastAsiaTheme="majorEastAsia" w:hAnsi="Arial Black" w:cstheme="majorHAnsi"/>
      <w:b/>
      <w:noProof/>
      <w:sz w:val="18"/>
      <w:szCs w:val="32"/>
    </w:rPr>
  </w:style>
  <w:style w:type="paragraph" w:customStyle="1" w:styleId="BMKLegalNoticePhrase">
    <w:name w:val="BMK Legal Notice Phrase"/>
    <w:basedOn w:val="Normal"/>
    <w:semiHidden/>
    <w:rsid w:val="00CC092E"/>
    <w:pPr>
      <w:spacing w:before="260" w:after="180" w:line="260" w:lineRule="atLeast"/>
    </w:pPr>
    <w:rPr>
      <w:rFonts w:asciiTheme="majorHAnsi" w:eastAsiaTheme="majorEastAsia" w:hAnsiTheme="majorHAnsi" w:cstheme="majorHAnsi"/>
      <w:b/>
      <w:caps/>
    </w:rPr>
  </w:style>
  <w:style w:type="paragraph" w:customStyle="1" w:styleId="BMKLetterCaption">
    <w:name w:val="BMK LetterCaption"/>
    <w:basedOn w:val="BMKLegalNoticePhrase"/>
    <w:next w:val="Normal"/>
    <w:semiHidden/>
    <w:rsid w:val="00CC092E"/>
    <w:pPr>
      <w:spacing w:before="0"/>
    </w:pPr>
  </w:style>
  <w:style w:type="paragraph" w:customStyle="1" w:styleId="BMKMemberFirmName">
    <w:name w:val="BMK Member Firm Name"/>
    <w:basedOn w:val="BMKAddressInfo"/>
    <w:next w:val="BMKAddressInfo"/>
    <w:link w:val="BMKMemberFirmNameChar"/>
    <w:semiHidden/>
    <w:rsid w:val="00CC092E"/>
    <w:rPr>
      <w:b/>
      <w:bCs/>
    </w:rPr>
  </w:style>
  <w:style w:type="character" w:customStyle="1" w:styleId="BMKMemberFirmNameChar">
    <w:name w:val="BMK Member Firm Name Char"/>
    <w:link w:val="BMKMemberFirmName"/>
    <w:semiHidden/>
    <w:rsid w:val="00CC092E"/>
    <w:rPr>
      <w:rFonts w:ascii="Arial" w:eastAsia="PMingLiU" w:hAnsi="Arial"/>
      <w:b/>
      <w:bCs/>
      <w:noProof/>
      <w:sz w:val="16"/>
      <w:lang w:val="en-AU" w:eastAsia="zh-CN"/>
    </w:rPr>
  </w:style>
  <w:style w:type="paragraph" w:customStyle="1" w:styleId="BMKMultiOffice">
    <w:name w:val="BMK Multi Office"/>
    <w:basedOn w:val="Normal"/>
    <w:next w:val="Normal"/>
    <w:semiHidden/>
    <w:rsid w:val="00CC092E"/>
    <w:rPr>
      <w:rFonts w:ascii="Arial Black" w:eastAsia="PMingLiU" w:hAnsi="Arial Black"/>
      <w:noProof/>
      <w:spacing w:val="2"/>
      <w:sz w:val="11"/>
      <w:szCs w:val="24"/>
    </w:rPr>
  </w:style>
  <w:style w:type="paragraph" w:customStyle="1" w:styleId="BMKMultiOfficeAddress">
    <w:name w:val="BMK Multi Office Address"/>
    <w:basedOn w:val="BMKCities"/>
    <w:semiHidden/>
    <w:rsid w:val="00CC092E"/>
  </w:style>
  <w:style w:type="paragraph" w:customStyle="1" w:styleId="BMKPartnerList">
    <w:name w:val="BMK Partner List"/>
    <w:basedOn w:val="BMKCities"/>
    <w:semiHidden/>
    <w:rsid w:val="00CC092E"/>
    <w:pPr>
      <w:adjustRightInd w:val="0"/>
      <w:snapToGrid w:val="0"/>
      <w:spacing w:after="20"/>
    </w:pPr>
    <w:rPr>
      <w:spacing w:val="0"/>
      <w:sz w:val="10"/>
      <w:szCs w:val="16"/>
    </w:rPr>
  </w:style>
  <w:style w:type="paragraph" w:customStyle="1" w:styleId="BMKPrivacyText">
    <w:name w:val="BMK Privacy Text"/>
    <w:basedOn w:val="Footer"/>
    <w:link w:val="BMKPrivacyTextChar"/>
    <w:semiHidden/>
    <w:rsid w:val="00CC092E"/>
  </w:style>
  <w:style w:type="character" w:customStyle="1" w:styleId="BMKPrivacyTextChar">
    <w:name w:val="BMK Privacy Text Char"/>
    <w:link w:val="BMKPrivacyText"/>
    <w:semiHidden/>
    <w:rsid w:val="00CC092E"/>
    <w:rPr>
      <w:rFonts w:asciiTheme="majorHAnsi" w:eastAsiaTheme="majorEastAsia" w:hAnsiTheme="majorHAnsi" w:cstheme="majorHAnsi"/>
      <w:noProof/>
      <w:sz w:val="16"/>
      <w:lang w:val="en-AU" w:eastAsia="zh-CN"/>
    </w:rPr>
  </w:style>
  <w:style w:type="paragraph" w:styleId="Footer">
    <w:name w:val="footer"/>
    <w:basedOn w:val="Normal"/>
    <w:link w:val="FooterChar"/>
    <w:uiPriority w:val="99"/>
    <w:rsid w:val="00CC092E"/>
    <w:pPr>
      <w:tabs>
        <w:tab w:val="right" w:pos="9350"/>
      </w:tabs>
      <w:spacing w:line="200" w:lineRule="atLeast"/>
    </w:pPr>
    <w:rPr>
      <w:rFonts w:asciiTheme="majorHAnsi" w:eastAsiaTheme="majorEastAsia" w:hAnsiTheme="majorHAnsi" w:cstheme="majorHAnsi"/>
      <w:noProof/>
      <w:sz w:val="16"/>
    </w:rPr>
  </w:style>
  <w:style w:type="character" w:customStyle="1" w:styleId="FooterChar">
    <w:name w:val="Footer Char"/>
    <w:link w:val="Footer"/>
    <w:uiPriority w:val="99"/>
    <w:rsid w:val="00CC092E"/>
    <w:rPr>
      <w:rFonts w:asciiTheme="majorHAnsi" w:eastAsiaTheme="majorEastAsia" w:hAnsiTheme="majorHAnsi" w:cstheme="majorHAnsi"/>
      <w:noProof/>
      <w:sz w:val="16"/>
      <w:lang w:val="en-AU" w:eastAsia="zh-CN"/>
    </w:rPr>
  </w:style>
  <w:style w:type="paragraph" w:customStyle="1" w:styleId="BMKPrivacyTitle">
    <w:name w:val="BMK Privacy Title"/>
    <w:basedOn w:val="Normal"/>
    <w:semiHidden/>
    <w:rsid w:val="00CC092E"/>
    <w:pPr>
      <w:spacing w:before="260" w:after="140" w:line="240" w:lineRule="atLeast"/>
    </w:pPr>
    <w:rPr>
      <w:rFonts w:ascii="Arial Black" w:hAnsi="Arial Black"/>
      <w:sz w:val="18"/>
    </w:rPr>
  </w:style>
  <w:style w:type="paragraph" w:customStyle="1" w:styleId="BMKQualifier">
    <w:name w:val="BMK Qualifier"/>
    <w:semiHidden/>
    <w:rsid w:val="00CC092E"/>
    <w:pPr>
      <w:spacing w:after="200" w:line="170" w:lineRule="atLeast"/>
    </w:pPr>
    <w:rPr>
      <w:rFonts w:asciiTheme="majorHAnsi" w:eastAsia="PMingLiU" w:hAnsiTheme="majorHAnsi"/>
      <w:caps/>
      <w:noProof/>
      <w:sz w:val="13"/>
      <w:szCs w:val="13"/>
      <w:lang w:val="en-AU" w:eastAsia="zh-CN"/>
    </w:rPr>
  </w:style>
  <w:style w:type="paragraph" w:customStyle="1" w:styleId="BMKRecipient1">
    <w:name w:val="BMK Recipient1"/>
    <w:basedOn w:val="Normal"/>
    <w:semiHidden/>
    <w:rsid w:val="00CC092E"/>
    <w:pPr>
      <w:spacing w:line="260" w:lineRule="atLeast"/>
    </w:pPr>
  </w:style>
  <w:style w:type="paragraph" w:customStyle="1" w:styleId="BMKRefInfo">
    <w:name w:val="BMK Ref Info"/>
    <w:basedOn w:val="BMKAddressInfo"/>
    <w:semiHidden/>
    <w:rsid w:val="00CC092E"/>
    <w:pPr>
      <w:framePr w:w="2943" w:h="1734" w:hRule="exact" w:wrap="around" w:vAnchor="text" w:hAnchor="page" w:x="8533" w:y="208"/>
    </w:pPr>
  </w:style>
  <w:style w:type="paragraph" w:customStyle="1" w:styleId="BMKRegions">
    <w:name w:val="BMK Regions"/>
    <w:basedOn w:val="BMKCities"/>
    <w:next w:val="BMKCities"/>
    <w:semiHidden/>
    <w:rsid w:val="00CC092E"/>
    <w:rPr>
      <w:rFonts w:ascii="Arial Black" w:hAnsi="Arial Black"/>
      <w:szCs w:val="24"/>
    </w:rPr>
  </w:style>
  <w:style w:type="paragraph" w:customStyle="1" w:styleId="BMKSalutation">
    <w:name w:val="BMK Salutation"/>
    <w:basedOn w:val="Normal"/>
    <w:semiHidden/>
    <w:rsid w:val="00CC092E"/>
    <w:pPr>
      <w:spacing w:line="260" w:lineRule="atLeast"/>
    </w:pPr>
  </w:style>
  <w:style w:type="paragraph" w:customStyle="1" w:styleId="BMKSubject">
    <w:name w:val="BMK Subject"/>
    <w:basedOn w:val="Normal"/>
    <w:semiHidden/>
    <w:rsid w:val="00CC092E"/>
    <w:pPr>
      <w:spacing w:line="260" w:lineRule="atLeast"/>
    </w:pPr>
    <w:rPr>
      <w:rFonts w:asciiTheme="majorHAnsi" w:eastAsiaTheme="majorEastAsia" w:hAnsiTheme="majorHAnsi" w:cstheme="majorHAnsi"/>
      <w:b/>
      <w:bCs/>
    </w:rPr>
  </w:style>
  <w:style w:type="paragraph" w:customStyle="1" w:styleId="BMKSubtitle">
    <w:name w:val="BMK Subtitle"/>
    <w:basedOn w:val="Normal"/>
    <w:next w:val="BodyText"/>
    <w:semiHidden/>
    <w:rsid w:val="00CC092E"/>
    <w:pPr>
      <w:spacing w:after="180" w:line="260" w:lineRule="atLeast"/>
    </w:pPr>
    <w:rPr>
      <w:rFonts w:asciiTheme="majorHAnsi" w:eastAsiaTheme="majorEastAsia" w:hAnsiTheme="majorHAnsi" w:cstheme="majorHAnsi"/>
      <w:sz w:val="32"/>
    </w:rPr>
  </w:style>
  <w:style w:type="paragraph" w:styleId="BodyText">
    <w:name w:val="Body Text"/>
    <w:basedOn w:val="Normal"/>
    <w:link w:val="BodyTextChar"/>
    <w:uiPriority w:val="99"/>
    <w:semiHidden/>
    <w:unhideWhenUsed/>
    <w:rsid w:val="00CC092E"/>
    <w:pPr>
      <w:spacing w:after="120"/>
    </w:pPr>
  </w:style>
  <w:style w:type="character" w:customStyle="1" w:styleId="BodyTextChar">
    <w:name w:val="Body Text Char"/>
    <w:basedOn w:val="DefaultParagraphFont"/>
    <w:link w:val="BodyText"/>
    <w:uiPriority w:val="99"/>
    <w:semiHidden/>
    <w:rsid w:val="00CC092E"/>
  </w:style>
  <w:style w:type="paragraph" w:customStyle="1" w:styleId="BMKTitle">
    <w:name w:val="BMK Title"/>
    <w:basedOn w:val="Normal"/>
    <w:next w:val="BodyText"/>
    <w:semiHidden/>
    <w:rsid w:val="00CC092E"/>
    <w:pPr>
      <w:spacing w:after="180" w:line="260" w:lineRule="atLeast"/>
    </w:pPr>
    <w:rPr>
      <w:rFonts w:asciiTheme="majorHAnsi" w:eastAsiaTheme="majorEastAsia" w:hAnsiTheme="majorHAnsi" w:cstheme="majorHAnsi"/>
      <w:sz w:val="48"/>
    </w:rPr>
  </w:style>
  <w:style w:type="paragraph" w:customStyle="1" w:styleId="BMKDate">
    <w:name w:val="BMKDate"/>
    <w:basedOn w:val="Normal"/>
    <w:semiHidden/>
    <w:rsid w:val="00CC092E"/>
    <w:pPr>
      <w:spacing w:line="260" w:lineRule="atLeast"/>
    </w:pPr>
  </w:style>
  <w:style w:type="paragraph" w:customStyle="1" w:styleId="BMKHeaderLogoSHI">
    <w:name w:val="BMKHeaderLogoSHI"/>
    <w:semiHidden/>
    <w:rsid w:val="00CC092E"/>
    <w:pPr>
      <w:tabs>
        <w:tab w:val="left" w:pos="709"/>
        <w:tab w:val="left" w:pos="1418"/>
        <w:tab w:val="left" w:pos="2126"/>
        <w:tab w:val="left" w:pos="2835"/>
        <w:tab w:val="right" w:pos="7876"/>
      </w:tabs>
      <w:spacing w:after="140" w:line="260" w:lineRule="atLeast"/>
    </w:pPr>
    <w:rPr>
      <w:rFonts w:eastAsiaTheme="minorEastAsia" w:cstheme="minorHAnsi"/>
      <w:szCs w:val="24"/>
      <w:lang w:val="en-AU" w:eastAsia="zh-CN"/>
    </w:rPr>
  </w:style>
  <w:style w:type="character" w:customStyle="1" w:styleId="Definition">
    <w:name w:val="Definition"/>
    <w:basedOn w:val="DefaultParagraphFont"/>
    <w:uiPriority w:val="3"/>
    <w:rsid w:val="00CC092E"/>
    <w:rPr>
      <w:b/>
      <w:bCs/>
      <w:i w:val="0"/>
      <w:szCs w:val="28"/>
    </w:rPr>
  </w:style>
  <w:style w:type="paragraph" w:customStyle="1" w:styleId="DefinitionParagraph">
    <w:name w:val="Definition Paragraph"/>
    <w:basedOn w:val="Normal"/>
    <w:uiPriority w:val="2"/>
    <w:rsid w:val="00CC092E"/>
    <w:pPr>
      <w:numPr>
        <w:numId w:val="7"/>
      </w:numPr>
      <w:spacing w:after="180" w:line="260" w:lineRule="atLeast"/>
    </w:pPr>
  </w:style>
  <w:style w:type="character" w:customStyle="1" w:styleId="DMReference">
    <w:name w:val="DMReference"/>
    <w:basedOn w:val="FooterChar"/>
    <w:semiHidden/>
    <w:rsid w:val="00CC092E"/>
    <w:rPr>
      <w:rFonts w:asciiTheme="majorHAnsi" w:eastAsiaTheme="majorEastAsia" w:hAnsiTheme="majorHAnsi" w:cstheme="majorHAnsi"/>
      <w:noProof/>
      <w:sz w:val="16"/>
      <w:szCs w:val="16"/>
      <w:lang w:val="en-AU" w:eastAsia="zh-CN"/>
    </w:rPr>
  </w:style>
  <w:style w:type="paragraph" w:customStyle="1" w:styleId="LetterDetail">
    <w:name w:val="LetterDetail"/>
    <w:basedOn w:val="Normal"/>
    <w:semiHidden/>
    <w:rsid w:val="00CC092E"/>
    <w:pPr>
      <w:spacing w:line="260" w:lineRule="atLeast"/>
    </w:pPr>
  </w:style>
  <w:style w:type="paragraph" w:customStyle="1" w:styleId="OtherContact">
    <w:name w:val="OtherContact"/>
    <w:basedOn w:val="Normal"/>
    <w:semiHidden/>
    <w:rsid w:val="00CC092E"/>
    <w:rPr>
      <w:rFonts w:asciiTheme="majorHAnsi" w:eastAsiaTheme="majorEastAsia" w:hAnsiTheme="majorHAnsi" w:cstheme="majorHAnsi"/>
      <w:sz w:val="16"/>
    </w:rPr>
  </w:style>
  <w:style w:type="paragraph" w:customStyle="1" w:styleId="Recital">
    <w:name w:val="Recital"/>
    <w:basedOn w:val="Normal"/>
    <w:uiPriority w:val="7"/>
    <w:rsid w:val="00CC092E"/>
    <w:pPr>
      <w:numPr>
        <w:numId w:val="8"/>
      </w:numPr>
      <w:spacing w:after="180" w:line="260" w:lineRule="atLeast"/>
    </w:pPr>
    <w:rPr>
      <w:rFonts w:cs="Times New Roman"/>
    </w:rPr>
  </w:style>
  <w:style w:type="paragraph" w:customStyle="1" w:styleId="SchH1">
    <w:name w:val="SchH1"/>
    <w:basedOn w:val="Normal"/>
    <w:next w:val="BodyText"/>
    <w:uiPriority w:val="6"/>
    <w:rsid w:val="00CC092E"/>
    <w:pPr>
      <w:keepNext/>
      <w:numPr>
        <w:numId w:val="14"/>
      </w:numPr>
      <w:spacing w:after="180" w:line="260" w:lineRule="atLeast"/>
    </w:pPr>
    <w:rPr>
      <w:rFonts w:asciiTheme="majorHAnsi" w:eastAsiaTheme="majorEastAsia" w:hAnsiTheme="majorHAnsi" w:cstheme="majorHAnsi"/>
      <w:b/>
      <w:bCs/>
    </w:rPr>
  </w:style>
  <w:style w:type="paragraph" w:customStyle="1" w:styleId="SchH2">
    <w:name w:val="SchH2"/>
    <w:basedOn w:val="Normal"/>
    <w:next w:val="BodyText"/>
    <w:uiPriority w:val="6"/>
    <w:rsid w:val="00CC092E"/>
    <w:pPr>
      <w:keepNext/>
      <w:numPr>
        <w:ilvl w:val="1"/>
        <w:numId w:val="14"/>
      </w:numPr>
      <w:spacing w:after="180" w:line="260" w:lineRule="atLeast"/>
    </w:pPr>
    <w:rPr>
      <w:rFonts w:asciiTheme="majorHAnsi" w:eastAsiaTheme="majorEastAsia" w:hAnsiTheme="majorHAnsi" w:cstheme="majorHAnsi"/>
      <w:b/>
      <w:bCs/>
    </w:rPr>
  </w:style>
  <w:style w:type="paragraph" w:customStyle="1" w:styleId="SchH3">
    <w:name w:val="SchH3"/>
    <w:basedOn w:val="Normal"/>
    <w:uiPriority w:val="6"/>
    <w:rsid w:val="00CC092E"/>
    <w:pPr>
      <w:numPr>
        <w:ilvl w:val="2"/>
        <w:numId w:val="14"/>
      </w:numPr>
      <w:spacing w:after="180" w:line="260" w:lineRule="atLeast"/>
    </w:pPr>
  </w:style>
  <w:style w:type="paragraph" w:customStyle="1" w:styleId="SchH4">
    <w:name w:val="SchH4"/>
    <w:basedOn w:val="Normal"/>
    <w:uiPriority w:val="6"/>
    <w:rsid w:val="00CC092E"/>
    <w:pPr>
      <w:numPr>
        <w:ilvl w:val="3"/>
        <w:numId w:val="14"/>
      </w:numPr>
      <w:spacing w:after="180" w:line="260" w:lineRule="atLeast"/>
    </w:pPr>
  </w:style>
  <w:style w:type="paragraph" w:customStyle="1" w:styleId="SchH5">
    <w:name w:val="SchH5"/>
    <w:basedOn w:val="Normal"/>
    <w:uiPriority w:val="6"/>
    <w:rsid w:val="00CC092E"/>
    <w:pPr>
      <w:numPr>
        <w:ilvl w:val="4"/>
        <w:numId w:val="14"/>
      </w:numPr>
      <w:spacing w:after="180" w:line="260" w:lineRule="atLeast"/>
    </w:pPr>
  </w:style>
  <w:style w:type="paragraph" w:customStyle="1" w:styleId="SchH6">
    <w:name w:val="SchH6"/>
    <w:basedOn w:val="Normal"/>
    <w:uiPriority w:val="6"/>
    <w:rsid w:val="00CC092E"/>
    <w:pPr>
      <w:numPr>
        <w:ilvl w:val="5"/>
        <w:numId w:val="14"/>
      </w:numPr>
      <w:spacing w:after="180" w:line="260" w:lineRule="atLeast"/>
    </w:pPr>
  </w:style>
  <w:style w:type="paragraph" w:customStyle="1" w:styleId="SchSH">
    <w:name w:val="SchSH"/>
    <w:basedOn w:val="Normal"/>
    <w:next w:val="BodyText"/>
    <w:uiPriority w:val="6"/>
    <w:rsid w:val="00CC092E"/>
    <w:pPr>
      <w:keepNext/>
      <w:spacing w:after="180" w:line="260" w:lineRule="atLeast"/>
    </w:pPr>
    <w:rPr>
      <w:rFonts w:asciiTheme="majorHAnsi" w:eastAsiaTheme="majorEastAsia" w:hAnsiTheme="majorHAnsi" w:cstheme="majorHAnsi"/>
      <w:b/>
    </w:rPr>
  </w:style>
  <w:style w:type="paragraph" w:customStyle="1" w:styleId="TOCHeading">
    <w:name w:val="TOCHeading"/>
    <w:basedOn w:val="Normal"/>
    <w:next w:val="BodyText"/>
    <w:uiPriority w:val="11"/>
    <w:semiHidden/>
    <w:rsid w:val="00CC092E"/>
    <w:pPr>
      <w:pBdr>
        <w:bottom w:val="single" w:sz="4" w:space="9" w:color="auto"/>
      </w:pBdr>
      <w:spacing w:after="180" w:line="260" w:lineRule="exact"/>
    </w:pPr>
    <w:rPr>
      <w:rFonts w:asciiTheme="majorHAnsi" w:eastAsiaTheme="majorEastAsia" w:hAnsiTheme="majorHAnsi" w:cstheme="majorHAnsi"/>
      <w:b/>
      <w:bCs/>
      <w:sz w:val="24"/>
    </w:rPr>
  </w:style>
  <w:style w:type="character" w:customStyle="1" w:styleId="Heading1Char">
    <w:name w:val="Heading 1 Char"/>
    <w:basedOn w:val="DefaultParagraphFont"/>
    <w:link w:val="Heading1"/>
    <w:rsid w:val="00CC092E"/>
    <w:rPr>
      <w:rFonts w:asciiTheme="majorHAnsi" w:eastAsiaTheme="majorEastAsia" w:hAnsiTheme="majorHAnsi" w:cstheme="majorHAnsi"/>
      <w:b/>
      <w:bCs/>
      <w:szCs w:val="28"/>
      <w:lang w:val="en-AU" w:eastAsia="zh-CN"/>
    </w:rPr>
  </w:style>
  <w:style w:type="character" w:customStyle="1" w:styleId="Heading2Char">
    <w:name w:val="Heading 2 Char"/>
    <w:basedOn w:val="DefaultParagraphFont"/>
    <w:link w:val="Heading2"/>
    <w:rsid w:val="00CC092E"/>
    <w:rPr>
      <w:rFonts w:asciiTheme="majorHAnsi" w:eastAsiaTheme="majorEastAsia" w:hAnsiTheme="majorHAnsi" w:cstheme="majorHAnsi"/>
      <w:b/>
      <w:bCs/>
      <w:szCs w:val="28"/>
      <w:lang w:val="en-AU" w:eastAsia="zh-CN"/>
    </w:rPr>
  </w:style>
  <w:style w:type="character" w:customStyle="1" w:styleId="Heading3Char">
    <w:name w:val="Heading 3 Char"/>
    <w:basedOn w:val="DefaultParagraphFont"/>
    <w:link w:val="Heading3"/>
    <w:rsid w:val="00CC092E"/>
    <w:rPr>
      <w:rFonts w:eastAsiaTheme="minorEastAsia"/>
      <w:szCs w:val="28"/>
      <w:lang w:val="en-AU" w:eastAsia="zh-CN"/>
    </w:rPr>
  </w:style>
  <w:style w:type="character" w:customStyle="1" w:styleId="Heading4Char">
    <w:name w:val="Heading 4 Char"/>
    <w:basedOn w:val="DefaultParagraphFont"/>
    <w:link w:val="Heading4"/>
    <w:rsid w:val="00CC092E"/>
    <w:rPr>
      <w:rFonts w:eastAsiaTheme="minorEastAsia"/>
      <w:szCs w:val="28"/>
      <w:lang w:val="en-AU" w:eastAsia="zh-CN"/>
    </w:rPr>
  </w:style>
  <w:style w:type="character" w:customStyle="1" w:styleId="Heading5Char">
    <w:name w:val="Heading 5 Char"/>
    <w:basedOn w:val="DefaultParagraphFont"/>
    <w:link w:val="Heading5"/>
    <w:rsid w:val="00CC092E"/>
    <w:rPr>
      <w:rFonts w:eastAsiaTheme="minorEastAsia"/>
      <w:szCs w:val="28"/>
      <w:lang w:val="en-AU" w:eastAsia="zh-CN"/>
    </w:rPr>
  </w:style>
  <w:style w:type="character" w:customStyle="1" w:styleId="Heading6Char">
    <w:name w:val="Heading 6 Char"/>
    <w:basedOn w:val="DefaultParagraphFont"/>
    <w:link w:val="Heading6"/>
    <w:rsid w:val="00CC092E"/>
    <w:rPr>
      <w:rFonts w:eastAsiaTheme="minorEastAsia"/>
      <w:szCs w:val="28"/>
      <w:lang w:val="en-AU" w:eastAsia="zh-CN"/>
    </w:rPr>
  </w:style>
  <w:style w:type="character" w:customStyle="1" w:styleId="Heading7Char">
    <w:name w:val="Heading 7 Char"/>
    <w:basedOn w:val="DefaultParagraphFont"/>
    <w:link w:val="Heading7"/>
    <w:rsid w:val="00CC092E"/>
    <w:rPr>
      <w:rFonts w:eastAsiaTheme="minorEastAsia"/>
      <w:szCs w:val="28"/>
      <w:lang w:val="en-AU" w:eastAsia="zh-CN"/>
    </w:rPr>
  </w:style>
  <w:style w:type="character" w:styleId="Hyperlink">
    <w:name w:val="Hyperlink"/>
    <w:uiPriority w:val="6"/>
    <w:semiHidden/>
    <w:rsid w:val="00CC092E"/>
    <w:rPr>
      <w:color w:val="0000FF"/>
      <w:u w:val="single"/>
    </w:rPr>
  </w:style>
  <w:style w:type="character" w:styleId="FollowedHyperlink">
    <w:name w:val="FollowedHyperlink"/>
    <w:basedOn w:val="DefaultParagraphFont"/>
    <w:unhideWhenUsed/>
    <w:rsid w:val="00CC092E"/>
    <w:rPr>
      <w:color w:val="800080"/>
      <w:u w:val="single"/>
    </w:rPr>
  </w:style>
  <w:style w:type="paragraph" w:styleId="ListNumber">
    <w:name w:val="List Number"/>
    <w:basedOn w:val="Normal"/>
    <w:uiPriority w:val="7"/>
    <w:qFormat/>
    <w:rsid w:val="00CC092E"/>
    <w:pPr>
      <w:numPr>
        <w:numId w:val="29"/>
      </w:numPr>
      <w:spacing w:after="180" w:line="260" w:lineRule="atLeast"/>
    </w:pPr>
  </w:style>
  <w:style w:type="paragraph" w:styleId="ListNumber2">
    <w:name w:val="List Number 2"/>
    <w:basedOn w:val="Normal"/>
    <w:uiPriority w:val="7"/>
    <w:qFormat/>
    <w:rsid w:val="00CC092E"/>
    <w:pPr>
      <w:numPr>
        <w:ilvl w:val="1"/>
        <w:numId w:val="29"/>
      </w:numPr>
      <w:spacing w:after="180" w:line="260" w:lineRule="atLeast"/>
    </w:pPr>
  </w:style>
  <w:style w:type="paragraph" w:styleId="ListNumber3">
    <w:name w:val="List Number 3"/>
    <w:basedOn w:val="Normal"/>
    <w:uiPriority w:val="7"/>
    <w:qFormat/>
    <w:rsid w:val="00CC092E"/>
    <w:pPr>
      <w:numPr>
        <w:ilvl w:val="2"/>
        <w:numId w:val="29"/>
      </w:numPr>
      <w:spacing w:after="180" w:line="260" w:lineRule="atLeast"/>
    </w:pPr>
  </w:style>
  <w:style w:type="paragraph" w:styleId="ListNumber4">
    <w:name w:val="List Number 4"/>
    <w:basedOn w:val="Normal"/>
    <w:uiPriority w:val="7"/>
    <w:qFormat/>
    <w:rsid w:val="00CC092E"/>
    <w:pPr>
      <w:numPr>
        <w:ilvl w:val="3"/>
        <w:numId w:val="29"/>
      </w:numPr>
      <w:spacing w:after="180" w:line="260" w:lineRule="atLeast"/>
    </w:pPr>
  </w:style>
  <w:style w:type="character" w:styleId="PageNumber">
    <w:name w:val="page number"/>
    <w:basedOn w:val="DefaultParagraphFont"/>
    <w:uiPriority w:val="99"/>
    <w:semiHidden/>
    <w:rsid w:val="00CC092E"/>
    <w:rPr>
      <w:szCs w:val="16"/>
    </w:rPr>
  </w:style>
  <w:style w:type="paragraph" w:styleId="Header">
    <w:name w:val="header"/>
    <w:basedOn w:val="Normal"/>
    <w:link w:val="HeaderChar"/>
    <w:uiPriority w:val="99"/>
    <w:unhideWhenUsed/>
    <w:rsid w:val="00F07447"/>
    <w:pPr>
      <w:tabs>
        <w:tab w:val="center" w:pos="4536"/>
        <w:tab w:val="right" w:pos="9072"/>
      </w:tabs>
    </w:pPr>
  </w:style>
  <w:style w:type="character" w:customStyle="1" w:styleId="HeaderChar">
    <w:name w:val="Header Char"/>
    <w:basedOn w:val="DefaultParagraphFont"/>
    <w:link w:val="Header"/>
    <w:uiPriority w:val="99"/>
    <w:rsid w:val="00F07447"/>
    <w:rPr>
      <w:rFonts w:eastAsiaTheme="minorEastAsia"/>
      <w:szCs w:val="28"/>
      <w:lang w:val="en-AU" w:eastAsia="zh-CN"/>
    </w:rPr>
  </w:style>
  <w:style w:type="paragraph" w:styleId="PlainText">
    <w:name w:val="Plain Text"/>
    <w:basedOn w:val="Normal"/>
    <w:link w:val="PlainTextChar"/>
    <w:uiPriority w:val="99"/>
    <w:semiHidden/>
    <w:unhideWhenUsed/>
    <w:rsid w:val="00F07447"/>
    <w:rPr>
      <w:rFonts w:ascii="Calibri" w:eastAsiaTheme="minorHAnsi" w:hAnsi="Calibri" w:cs="Calibri"/>
      <w:szCs w:val="22"/>
      <w:lang w:val="pl-PL" w:eastAsia="pl-PL"/>
    </w:rPr>
  </w:style>
  <w:style w:type="character" w:customStyle="1" w:styleId="PlainTextChar">
    <w:name w:val="Plain Text Char"/>
    <w:basedOn w:val="DefaultParagraphFont"/>
    <w:link w:val="PlainText"/>
    <w:uiPriority w:val="99"/>
    <w:semiHidden/>
    <w:rsid w:val="00F07447"/>
    <w:rPr>
      <w:rFonts w:ascii="Calibri" w:hAnsi="Calibri" w:cs="Calibri"/>
      <w:lang w:eastAsia="pl-PL"/>
    </w:rPr>
  </w:style>
  <w:style w:type="paragraph" w:styleId="FootnoteText">
    <w:name w:val="footnote text"/>
    <w:basedOn w:val="Normal"/>
    <w:link w:val="FootnoteTextChar"/>
    <w:uiPriority w:val="99"/>
    <w:semiHidden/>
    <w:unhideWhenUsed/>
    <w:rsid w:val="00BB0458"/>
    <w:rPr>
      <w:sz w:val="20"/>
      <w:szCs w:val="20"/>
    </w:rPr>
  </w:style>
  <w:style w:type="character" w:customStyle="1" w:styleId="FootnoteTextChar">
    <w:name w:val="Footnote Text Char"/>
    <w:basedOn w:val="DefaultParagraphFont"/>
    <w:link w:val="FootnoteText"/>
    <w:uiPriority w:val="99"/>
    <w:semiHidden/>
    <w:rsid w:val="00BB0458"/>
    <w:rPr>
      <w:rFonts w:eastAsiaTheme="minorEastAsia"/>
      <w:sz w:val="20"/>
      <w:szCs w:val="20"/>
      <w:lang w:val="en-AU" w:eastAsia="zh-CN"/>
    </w:rPr>
  </w:style>
  <w:style w:type="character" w:styleId="FootnoteReference">
    <w:name w:val="footnote reference"/>
    <w:basedOn w:val="DefaultParagraphFont"/>
    <w:uiPriority w:val="99"/>
    <w:semiHidden/>
    <w:unhideWhenUsed/>
    <w:rsid w:val="00BB0458"/>
    <w:rPr>
      <w:vertAlign w:val="superscript"/>
    </w:rPr>
  </w:style>
  <w:style w:type="paragraph" w:styleId="BalloonText">
    <w:name w:val="Balloon Text"/>
    <w:basedOn w:val="Normal"/>
    <w:link w:val="BalloonTextChar"/>
    <w:uiPriority w:val="99"/>
    <w:semiHidden/>
    <w:unhideWhenUsed/>
    <w:rsid w:val="00A6246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2460"/>
    <w:rPr>
      <w:rFonts w:ascii="Segoe UI" w:eastAsiaTheme="minorEastAsia" w:hAnsi="Segoe UI" w:cs="Segoe UI"/>
      <w:sz w:val="18"/>
      <w:szCs w:val="18"/>
      <w:lang w:val="en-AU" w:eastAsia="zh-CN"/>
    </w:rPr>
  </w:style>
  <w:style w:type="paragraph" w:styleId="EndnoteText">
    <w:name w:val="endnote text"/>
    <w:basedOn w:val="Normal"/>
    <w:link w:val="EndnoteTextChar"/>
    <w:uiPriority w:val="99"/>
    <w:semiHidden/>
    <w:unhideWhenUsed/>
    <w:rsid w:val="004A04BB"/>
    <w:rPr>
      <w:sz w:val="20"/>
      <w:szCs w:val="20"/>
    </w:rPr>
  </w:style>
  <w:style w:type="character" w:customStyle="1" w:styleId="EndnoteTextChar">
    <w:name w:val="Endnote Text Char"/>
    <w:basedOn w:val="DefaultParagraphFont"/>
    <w:link w:val="EndnoteText"/>
    <w:uiPriority w:val="99"/>
    <w:semiHidden/>
    <w:rsid w:val="004A04BB"/>
    <w:rPr>
      <w:rFonts w:eastAsiaTheme="minorEastAsia"/>
      <w:sz w:val="20"/>
      <w:szCs w:val="20"/>
      <w:lang w:val="en-AU" w:eastAsia="zh-CN"/>
    </w:rPr>
  </w:style>
  <w:style w:type="character" w:styleId="EndnoteReference">
    <w:name w:val="endnote reference"/>
    <w:basedOn w:val="DefaultParagraphFont"/>
    <w:uiPriority w:val="99"/>
    <w:semiHidden/>
    <w:unhideWhenUsed/>
    <w:rsid w:val="004A04BB"/>
    <w:rPr>
      <w:vertAlign w:val="superscript"/>
    </w:rPr>
  </w:style>
  <w:style w:type="paragraph" w:styleId="ListParagraph">
    <w:name w:val="List Paragraph"/>
    <w:basedOn w:val="Normal"/>
    <w:uiPriority w:val="34"/>
    <w:qFormat/>
    <w:rsid w:val="005004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3944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magazyny.pl/blog/raporty/polski-rynek-magazynowy-po-raz-kolejny-na-europejskim-podium/" TargetMode="External"/></Relationships>
</file>

<file path=word/theme/theme1.xml><?xml version="1.0" encoding="utf-8"?>
<a:theme xmlns:a="http://schemas.openxmlformats.org/drawingml/2006/main" name="B&amp;M">
  <a:themeElements>
    <a:clrScheme name="B&amp;M">
      <a:dk1>
        <a:srgbClr val="000000"/>
      </a:dk1>
      <a:lt1>
        <a:srgbClr val="FFFFFF"/>
      </a:lt1>
      <a:dk2>
        <a:srgbClr val="5F5F5F"/>
      </a:dk2>
      <a:lt2>
        <a:srgbClr val="C2C3C4"/>
      </a:lt2>
      <a:accent1>
        <a:srgbClr val="EE3135"/>
      </a:accent1>
      <a:accent2>
        <a:srgbClr val="AE132A"/>
      </a:accent2>
      <a:accent3>
        <a:srgbClr val="7A0223"/>
      </a:accent3>
      <a:accent4>
        <a:srgbClr val="002856"/>
      </a:accent4>
      <a:accent5>
        <a:srgbClr val="F58220"/>
      </a:accent5>
      <a:accent6>
        <a:srgbClr val="007B66"/>
      </a:accent6>
      <a:hlink>
        <a:srgbClr val="0000FF"/>
      </a:hlink>
      <a:folHlink>
        <a:srgbClr val="800080"/>
      </a:folHlink>
    </a:clrScheme>
    <a:fontScheme name="B&amp;M">
      <a:majorFont>
        <a:latin typeface="Arial"/>
        <a:ea typeface="PMingLiu"/>
        <a:cs typeface=""/>
        <a:font script="Jpan" typeface="MS Gothic"/>
      </a:majorFont>
      <a:minorFont>
        <a:latin typeface="Times New Roman"/>
        <a:ea typeface="PMingLiU"/>
        <a:cs typeface=""/>
        <a:font script="Jpan" typeface="MS Mincho"/>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43C90B-2F2F-4B13-9F26-930FD7FA2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1068</Words>
  <Characters>6092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Baker &amp; McKenzie</Company>
  <LinksUpToDate>false</LinksUpToDate>
  <CharactersWithSpaces>7146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Cieslak, Mateusz</dc:creator>
  <cp:keywords/>
  <dc:description/>
  <cp:lastModifiedBy>McCauley, Niamh</cp:lastModifiedBy>
  <cp:revision>2</cp:revision>
  <dcterms:created xsi:type="dcterms:W3CDTF">2021-06-08T19:53:00Z</dcterms:created>
  <dcterms:modified xsi:type="dcterms:W3CDTF">2021-06-08T19:53:00Z</dcterms:modified>
</cp:coreProperties>
</file>